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709D7">
      <w:pPr>
        <w:spacing w:after="40"/>
        <w:jc w:val="center"/>
      </w:pPr>
      <w:r>
        <w:rPr>
          <w:b/>
          <w:color w:val="1B363D"/>
          <w:sz w:val="44"/>
        </w:rPr>
        <w:t>PROJECT DEVELOPMENT PHASE: FUNCTIONAL CATALOG</w:t>
      </w:r>
    </w:p>
    <w:p w14:paraId="2E45E45C">
      <w:pPr>
        <w:spacing w:after="480"/>
        <w:jc w:val="center"/>
      </w:pPr>
      <w:r>
        <w:rPr>
          <w:i/>
          <w:color w:val="64748B"/>
          <w:sz w:val="20"/>
        </w:rPr>
        <w:t>Project: EduGenie (Google Gemini-Powered Learning Assistant)</w:t>
      </w:r>
      <w:r>
        <w:rPr>
          <w:i/>
          <w:color w:val="64748B"/>
          <w:sz w:val="20"/>
        </w:rPr>
        <w:br w:type="textWrapping"/>
      </w:r>
      <w:bookmarkStart w:id="0" w:name="_GoBack"/>
      <w:bookmarkEnd w:id="0"/>
    </w:p>
    <w:p w14:paraId="5BF47234">
      <w:pPr>
        <w:keepNext/>
        <w:pBdr>
          <w:bottom w:val="single" w:color="1B363D" w:sz="12" w:space="4"/>
        </w:pBdr>
        <w:spacing w:before="360" w:after="120"/>
      </w:pPr>
      <w:r>
        <w:rPr>
          <w:rFonts w:ascii="Calibri" w:hAnsi="Calibri"/>
          <w:b/>
          <w:color w:val="1B363D"/>
          <w:sz w:val="36"/>
        </w:rPr>
        <w:t>3. NUMBER OF FUNCTIONAL FEATURES INCLUDED IN THE SOLUTION</w:t>
      </w:r>
    </w:p>
    <w:p w14:paraId="13CAAA86">
      <w:r>
        <w:rPr>
          <w:color w:val="334155"/>
        </w:rPr>
        <w:t xml:space="preserve">The complete production implementation of </w:t>
      </w:r>
      <w:r>
        <w:rPr>
          <w:b/>
        </w:rPr>
        <w:t>EduGenie</w:t>
      </w:r>
      <w:r>
        <w:rPr>
          <w:color w:val="334155"/>
        </w:rPr>
        <w:t xml:space="preserve"> successfully integrates exactly </w:t>
      </w:r>
      <w:r>
        <w:rPr>
          <w:b/>
        </w:rPr>
        <w:t>five (5) fully independent core functional modules</w:t>
      </w:r>
      <w:r>
        <w:rPr>
          <w:color w:val="334155"/>
        </w:rPr>
        <w:t xml:space="preserve"> powered natively by the Google Gemini API framework. Each module functions as an isolated micro-service flow engineered to mitigate core student learning pain points established in the project roadmap discovery phase.</w:t>
      </w:r>
    </w:p>
    <w:p w14:paraId="4C0095D7">
      <w:pPr>
        <w:keepNext/>
        <w:spacing w:before="240" w:after="80"/>
      </w:pPr>
      <w:r>
        <w:rPr>
          <w:rFonts w:ascii="Calibri" w:hAnsi="Calibri"/>
          <w:b/>
          <w:color w:val="0D9488"/>
          <w:sz w:val="28"/>
        </w:rPr>
        <w:t>3.1 Detailed Feature Specifications &amp; Routing Architecture Matrix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728"/>
        <w:gridCol w:w="2592"/>
        <w:gridCol w:w="2880"/>
      </w:tblGrid>
      <w:tr w14:paraId="1B70987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B363D"/>
          </w:tcPr>
          <w:p w14:paraId="0FCEC7FD">
            <w:pPr>
              <w:spacing w:after="0" w:line="240" w:lineRule="auto"/>
            </w:pPr>
            <w:r>
              <w:rPr>
                <w:b/>
                <w:color w:val="FFFFFF"/>
                <w:sz w:val="21"/>
              </w:rPr>
              <w:t>Feature Name</w:t>
            </w:r>
          </w:p>
        </w:tc>
        <w:tc>
          <w:tcPr>
            <w:tcW w:w="1728" w:type="dxa"/>
            <w:shd w:val="clear" w:color="auto" w:fill="1B363D"/>
          </w:tcPr>
          <w:p w14:paraId="3B1F7F19">
            <w:pPr>
              <w:spacing w:after="0" w:line="240" w:lineRule="auto"/>
            </w:pPr>
            <w:r>
              <w:rPr>
                <w:b/>
                <w:color w:val="FFFFFF"/>
                <w:sz w:val="21"/>
              </w:rPr>
              <w:t>API Route</w:t>
            </w:r>
          </w:p>
        </w:tc>
        <w:tc>
          <w:tcPr>
            <w:tcW w:w="2592" w:type="dxa"/>
            <w:shd w:val="clear" w:color="auto" w:fill="1B363D"/>
          </w:tcPr>
          <w:p w14:paraId="1D78630F">
            <w:pPr>
              <w:spacing w:after="0" w:line="240" w:lineRule="auto"/>
            </w:pPr>
            <w:r>
              <w:rPr>
                <w:b/>
                <w:color w:val="FFFFFF"/>
                <w:sz w:val="21"/>
              </w:rPr>
              <w:t>Core Purpose</w:t>
            </w:r>
          </w:p>
        </w:tc>
        <w:tc>
          <w:tcPr>
            <w:tcW w:w="2880" w:type="dxa"/>
            <w:shd w:val="clear" w:color="auto" w:fill="1B363D"/>
          </w:tcPr>
          <w:p w14:paraId="74F36B07">
            <w:pPr>
              <w:spacing w:after="0" w:line="240" w:lineRule="auto"/>
            </w:pPr>
            <w:r>
              <w:rPr>
                <w:b/>
                <w:color w:val="FFFFFF"/>
                <w:sz w:val="21"/>
              </w:rPr>
              <w:t>Gemini Prompt Objective</w:t>
            </w:r>
          </w:p>
        </w:tc>
      </w:tr>
      <w:tr w14:paraId="309FF0B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FFFFF"/>
          </w:tcPr>
          <w:p w14:paraId="12B54F59">
            <w:pPr>
              <w:spacing w:before="80" w:after="80" w:line="240" w:lineRule="auto"/>
            </w:pPr>
            <w:r>
              <w:rPr>
                <w:b/>
                <w:sz w:val="19"/>
              </w:rPr>
              <w:t>Concept Clarification Engine</w:t>
            </w:r>
          </w:p>
        </w:tc>
        <w:tc>
          <w:tcPr>
            <w:tcW w:w="1728" w:type="dxa"/>
            <w:shd w:val="clear" w:color="auto" w:fill="FFFFFF"/>
          </w:tcPr>
          <w:p w14:paraId="1560C8DA">
            <w:pPr>
              <w:spacing w:before="80" w:after="80" w:line="240" w:lineRule="auto"/>
            </w:pPr>
            <w:r>
              <w:rPr>
                <w:sz w:val="19"/>
              </w:rPr>
              <w:t>/api/explain</w:t>
            </w:r>
          </w:p>
        </w:tc>
        <w:tc>
          <w:tcPr>
            <w:tcW w:w="2592" w:type="dxa"/>
            <w:shd w:val="clear" w:color="auto" w:fill="FFFFFF"/>
          </w:tcPr>
          <w:p w14:paraId="7A127978">
            <w:pPr>
              <w:spacing w:before="80" w:after="80" w:line="240" w:lineRule="auto"/>
            </w:pPr>
            <w:r>
              <w:rPr>
                <w:sz w:val="19"/>
              </w:rPr>
              <w:t>Translates dense structural text/formulas into accessible real-world concepts.</w:t>
            </w:r>
          </w:p>
        </w:tc>
        <w:tc>
          <w:tcPr>
            <w:tcW w:w="2880" w:type="dxa"/>
            <w:shd w:val="clear" w:color="auto" w:fill="FFFFFF"/>
          </w:tcPr>
          <w:p w14:paraId="5DB8B7BF">
            <w:pPr>
              <w:spacing w:before="80" w:after="80" w:line="240" w:lineRule="auto"/>
            </w:pPr>
            <w:r>
              <w:rPr>
                <w:sz w:val="19"/>
              </w:rPr>
              <w:t>Inject pedagogical scaffolding using clear conceptual analogies tailored to a student profile.</w:t>
            </w:r>
          </w:p>
        </w:tc>
      </w:tr>
      <w:tr w14:paraId="7E423FF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8FAFC"/>
          </w:tcPr>
          <w:p w14:paraId="2FBB006A">
            <w:pPr>
              <w:spacing w:before="80" w:after="80" w:line="240" w:lineRule="auto"/>
            </w:pPr>
            <w:r>
              <w:rPr>
                <w:b/>
                <w:sz w:val="19"/>
              </w:rPr>
              <w:t>Interactive Academic Q&amp;A Portal</w:t>
            </w:r>
          </w:p>
        </w:tc>
        <w:tc>
          <w:tcPr>
            <w:tcW w:w="1728" w:type="dxa"/>
            <w:shd w:val="clear" w:color="auto" w:fill="F8FAFC"/>
          </w:tcPr>
          <w:p w14:paraId="5A05E8C5">
            <w:pPr>
              <w:spacing w:before="80" w:after="80" w:line="240" w:lineRule="auto"/>
            </w:pPr>
            <w:r>
              <w:rPr>
                <w:sz w:val="19"/>
              </w:rPr>
              <w:t>/api/qna</w:t>
            </w:r>
          </w:p>
        </w:tc>
        <w:tc>
          <w:tcPr>
            <w:tcW w:w="2592" w:type="dxa"/>
            <w:shd w:val="clear" w:color="auto" w:fill="F8FAFC"/>
          </w:tcPr>
          <w:p w14:paraId="3C171B68">
            <w:pPr>
              <w:spacing w:before="80" w:after="80" w:line="240" w:lineRule="auto"/>
            </w:pPr>
            <w:r>
              <w:rPr>
                <w:sz w:val="19"/>
              </w:rPr>
              <w:t>Acts as an on-demand virtual academic coach to resolve complex homework threads.</w:t>
            </w:r>
          </w:p>
        </w:tc>
        <w:tc>
          <w:tcPr>
            <w:tcW w:w="2880" w:type="dxa"/>
            <w:shd w:val="clear" w:color="auto" w:fill="F8FAFC"/>
          </w:tcPr>
          <w:p w14:paraId="2767B8BB">
            <w:pPr>
              <w:spacing w:before="80" w:after="80" w:line="240" w:lineRule="auto"/>
            </w:pPr>
            <w:r>
              <w:rPr>
                <w:sz w:val="19"/>
              </w:rPr>
              <w:t>Deliver deep step-by-step problem-solving guidance and structural analysis without executing shortcuts.</w:t>
            </w:r>
          </w:p>
        </w:tc>
      </w:tr>
      <w:tr w14:paraId="75B1B3D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FFFFF"/>
          </w:tcPr>
          <w:p w14:paraId="03869A1A">
            <w:pPr>
              <w:spacing w:before="80" w:after="80" w:line="240" w:lineRule="auto"/>
            </w:pPr>
            <w:r>
              <w:rPr>
                <w:b/>
                <w:sz w:val="19"/>
              </w:rPr>
              <w:t>Strategic Document Summarizer</w:t>
            </w:r>
          </w:p>
        </w:tc>
        <w:tc>
          <w:tcPr>
            <w:tcW w:w="1728" w:type="dxa"/>
            <w:shd w:val="clear" w:color="auto" w:fill="FFFFFF"/>
          </w:tcPr>
          <w:p w14:paraId="52253149">
            <w:pPr>
              <w:spacing w:before="80" w:after="80" w:line="240" w:lineRule="auto"/>
            </w:pPr>
            <w:r>
              <w:rPr>
                <w:sz w:val="19"/>
              </w:rPr>
              <w:t>/api/summarize</w:t>
            </w:r>
          </w:p>
        </w:tc>
        <w:tc>
          <w:tcPr>
            <w:tcW w:w="2592" w:type="dxa"/>
            <w:shd w:val="clear" w:color="auto" w:fill="FFFFFF"/>
          </w:tcPr>
          <w:p w14:paraId="072EA971">
            <w:pPr>
              <w:spacing w:before="80" w:after="80" w:line="240" w:lineRule="auto"/>
            </w:pPr>
            <w:r>
              <w:rPr>
                <w:sz w:val="19"/>
              </w:rPr>
              <w:t>Mitigates information overload by compressing long-form textbook sections.</w:t>
            </w:r>
          </w:p>
        </w:tc>
        <w:tc>
          <w:tcPr>
            <w:tcW w:w="2880" w:type="dxa"/>
            <w:shd w:val="clear" w:color="auto" w:fill="FFFFFF"/>
          </w:tcPr>
          <w:p w14:paraId="00F1DA3D">
            <w:pPr>
              <w:spacing w:before="80" w:after="80" w:line="240" w:lineRule="auto"/>
            </w:pPr>
            <w:r>
              <w:rPr>
                <w:sz w:val="19"/>
              </w:rPr>
              <w:t>Isolate architectural takeaways and generate core concise bulleted concept summaries from raw text blocks.</w:t>
            </w:r>
          </w:p>
        </w:tc>
      </w:tr>
      <w:tr w14:paraId="08A3EA1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8FAFC"/>
          </w:tcPr>
          <w:p w14:paraId="19E836A6">
            <w:pPr>
              <w:spacing w:before="80" w:after="80" w:line="240" w:lineRule="auto"/>
            </w:pPr>
            <w:r>
              <w:rPr>
                <w:b/>
                <w:sz w:val="19"/>
              </w:rPr>
              <w:t>AI Practice Quiz Generator</w:t>
            </w:r>
          </w:p>
        </w:tc>
        <w:tc>
          <w:tcPr>
            <w:tcW w:w="1728" w:type="dxa"/>
            <w:shd w:val="clear" w:color="auto" w:fill="F8FAFC"/>
          </w:tcPr>
          <w:p w14:paraId="161DF29E">
            <w:pPr>
              <w:spacing w:before="80" w:after="80" w:line="240" w:lineRule="auto"/>
            </w:pPr>
            <w:r>
              <w:rPr>
                <w:sz w:val="19"/>
              </w:rPr>
              <w:t>/api/quiz</w:t>
            </w:r>
          </w:p>
        </w:tc>
        <w:tc>
          <w:tcPr>
            <w:tcW w:w="2592" w:type="dxa"/>
            <w:shd w:val="clear" w:color="auto" w:fill="F8FAFC"/>
          </w:tcPr>
          <w:p w14:paraId="78054D14">
            <w:pPr>
              <w:spacing w:before="80" w:after="80" w:line="240" w:lineRule="auto"/>
            </w:pPr>
            <w:r>
              <w:rPr>
                <w:sz w:val="19"/>
              </w:rPr>
              <w:t>Addresses local assessment scarcity by drafting curriculum-matched test sets.</w:t>
            </w:r>
          </w:p>
        </w:tc>
        <w:tc>
          <w:tcPr>
            <w:tcW w:w="2880" w:type="dxa"/>
            <w:shd w:val="clear" w:color="auto" w:fill="F8FAFC"/>
          </w:tcPr>
          <w:p w14:paraId="28E0B563">
            <w:pPr>
              <w:spacing w:before="80" w:after="80" w:line="240" w:lineRule="auto"/>
            </w:pPr>
            <w:r>
              <w:rPr>
                <w:sz w:val="19"/>
              </w:rPr>
              <w:t>Dynamically compile standard multi-choice questions (MCQs) explicitly equipped with logical answer rationales.</w:t>
            </w:r>
          </w:p>
        </w:tc>
      </w:tr>
      <w:tr w14:paraId="52F0128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FFFFF"/>
          </w:tcPr>
          <w:p w14:paraId="33EB3A4B">
            <w:pPr>
              <w:spacing w:before="80" w:after="80" w:line="240" w:lineRule="auto"/>
            </w:pPr>
            <w:r>
              <w:rPr>
                <w:b/>
                <w:sz w:val="19"/>
              </w:rPr>
              <w:t>Learning Path Syllabus Planner</w:t>
            </w:r>
          </w:p>
        </w:tc>
        <w:tc>
          <w:tcPr>
            <w:tcW w:w="1728" w:type="dxa"/>
            <w:shd w:val="clear" w:color="auto" w:fill="FFFFFF"/>
          </w:tcPr>
          <w:p w14:paraId="6142DA6F">
            <w:pPr>
              <w:spacing w:before="80" w:after="80" w:line="240" w:lineRule="auto"/>
            </w:pPr>
            <w:r>
              <w:rPr>
                <w:sz w:val="19"/>
              </w:rPr>
              <w:t>/api/learning-path</w:t>
            </w:r>
          </w:p>
        </w:tc>
        <w:tc>
          <w:tcPr>
            <w:tcW w:w="2592" w:type="dxa"/>
            <w:shd w:val="clear" w:color="auto" w:fill="FFFFFF"/>
          </w:tcPr>
          <w:p w14:paraId="0272B4AD">
            <w:pPr>
              <w:spacing w:before="80" w:after="80" w:line="240" w:lineRule="auto"/>
            </w:pPr>
            <w:r>
              <w:rPr>
                <w:sz w:val="19"/>
              </w:rPr>
              <w:t>Architects clear, autonomous chronological scaling paths for niche technical goals.</w:t>
            </w:r>
          </w:p>
        </w:tc>
        <w:tc>
          <w:tcPr>
            <w:tcW w:w="2880" w:type="dxa"/>
            <w:shd w:val="clear" w:color="auto" w:fill="FFFFFF"/>
          </w:tcPr>
          <w:p w14:paraId="2D234E76">
            <w:pPr>
              <w:spacing w:before="80" w:after="80" w:line="240" w:lineRule="auto"/>
            </w:pPr>
            <w:r>
              <w:rPr>
                <w:sz w:val="19"/>
              </w:rPr>
              <w:t>Design multi-tier structural syllabus blueprints grouped cleanly into Beginner, Intermediate, and Advanced milestones.</w:t>
            </w:r>
          </w:p>
        </w:tc>
      </w:tr>
    </w:tbl>
    <w:p w14:paraId="391FE1B1">
      <w:pPr>
        <w:spacing w:after="240"/>
      </w:pPr>
    </w:p>
    <w:p w14:paraId="7383B404">
      <w:pPr>
        <w:keepNext/>
        <w:spacing w:before="240" w:after="80"/>
      </w:pPr>
      <w:r>
        <w:rPr>
          <w:rFonts w:ascii="Calibri" w:hAnsi="Calibri"/>
          <w:b/>
          <w:color w:val="0D9488"/>
          <w:sz w:val="28"/>
        </w:rPr>
        <w:t>3.2 Strategic Functional Highlights</w:t>
      </w:r>
    </w:p>
    <w:p w14:paraId="35D2266A">
      <w:pPr>
        <w:pStyle w:val="23"/>
        <w:spacing w:after="80"/>
      </w:pPr>
      <w:r>
        <w:rPr>
          <w:b/>
          <w:color w:val="1B363D"/>
        </w:rPr>
        <w:t xml:space="preserve">Unified Dynamic Controller Architecture: </w:t>
      </w:r>
      <w:r>
        <w:rPr>
          <w:color w:val="334155"/>
        </w:rPr>
        <w:t>The solution completely avoids feature dispersion by deploying all 5 modules from a centralized FastAPI handler. This setup uses independent Pydantic validation contracts to keep execution safe and stable across routes.</w:t>
      </w:r>
    </w:p>
    <w:p w14:paraId="69C12B45">
      <w:pPr>
        <w:pStyle w:val="23"/>
        <w:spacing w:after="80"/>
      </w:pPr>
      <w:r>
        <w:rPr>
          <w:b/>
          <w:color w:val="1B363D"/>
        </w:rPr>
        <w:t xml:space="preserve">Context-Driven Network Pipeline: </w:t>
      </w:r>
      <w:r>
        <w:rPr>
          <w:color w:val="334155"/>
        </w:rPr>
        <w:t>Every operational feature channels structural prompts into a shared, optimized HTTP execution routine (`call_gemini_api`). This central network connector handles authentication parameters and background timeout operations safely without slowing down the active UI.</w:t>
      </w:r>
    </w:p>
    <w:p w14:paraId="7BF7DC64">
      <w:pPr>
        <w:pStyle w:val="23"/>
        <w:spacing w:after="80"/>
      </w:pPr>
      <w:r>
        <w:rPr>
          <w:b/>
          <w:color w:val="1B363D"/>
        </w:rPr>
        <w:t xml:space="preserve">Non-Blocking Client Experience: </w:t>
      </w:r>
      <w:r>
        <w:rPr>
          <w:color w:val="334155"/>
        </w:rPr>
        <w:t>The accompanying web terminal links each route to specialized, asynchronous JavaScript endpoints. This means students receive live feedback for heavy payloads (like full syllabus designs or multi-paragraph text summaries) without experiencing browser lag or UI freezing.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20F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334155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332</Words>
  <Characters>2384</Characters>
  <Lines>0</Lines>
  <Paragraphs>0</Paragraphs>
  <TotalTime>0</TotalTime>
  <ScaleCrop>false</ScaleCrop>
  <LinksUpToDate>false</LinksUpToDate>
  <CharactersWithSpaces>2682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ELCOT</cp:lastModifiedBy>
  <dcterms:modified xsi:type="dcterms:W3CDTF">2026-09-29T15:02:57Z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128A18D820F042938E08D520FAAD646B_13</vt:lpwstr>
  </property>
</Properties>
</file>