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0881EA">
      <w:pPr>
        <w:spacing w:before="0" w:after="40"/>
      </w:pPr>
      <w:bookmarkStart w:id="0" w:name="_GoBack"/>
      <w:bookmarkEnd w:id="0"/>
      <w:r>
        <w:rPr>
          <w:rFonts w:ascii="Calibri" w:hAnsi="Calibri"/>
          <w:b/>
          <w:color w:val="1B365D"/>
          <w:sz w:val="44"/>
        </w:rPr>
        <w:t>EduGenie: Google Gemini Powered Learning Assistant</w:t>
      </w:r>
    </w:p>
    <w:p w14:paraId="021612A7">
      <w:pPr>
        <w:spacing w:after="480"/>
      </w:pPr>
      <w:r>
        <w:rPr>
          <w:rFonts w:ascii="Calibri" w:hAnsi="Calibri"/>
          <w:i/>
          <w:color w:val="555555"/>
          <w:sz w:val="24"/>
        </w:rPr>
        <w:t>Phase 1: Brainstorming and Ideation Prioritization — Empathy Map Artifact</w:t>
      </w:r>
    </w:p>
    <w:p w14:paraId="67544DE8">
      <w:pPr>
        <w:keepNext/>
        <w:spacing w:before="240" w:after="80"/>
      </w:pPr>
      <w:r>
        <w:rPr>
          <w:rFonts w:ascii="Calibri" w:hAnsi="Calibri"/>
          <w:b/>
          <w:color w:val="1B365D"/>
          <w:sz w:val="32"/>
        </w:rPr>
        <w:t>3. Empathy Map</w:t>
      </w:r>
    </w:p>
    <w:p w14:paraId="79C8A84C">
      <w:pPr>
        <w:spacing w:after="240"/>
      </w:pPr>
      <w:r>
        <w:rPr>
          <w:rFonts w:ascii="Calibri" w:hAnsi="Calibri"/>
          <w:sz w:val="22"/>
        </w:rPr>
        <w:t>Target User Persona: 'The Overwhelmed Achiever' (Secondary &amp; Higher Education students navigating complex, multi-disciplinary workloads). This matrix maps qualitative user behaviors, environments, and mental frictions to optimize user experience layout workflows within the EduGenie interface.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831B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4F4B9B3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THINKS</w:t>
            </w:r>
          </w:p>
          <w:p w14:paraId="11CC3785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Am I the only one struggling with this logic?</w:t>
            </w:r>
          </w:p>
          <w:p w14:paraId="0FB08A85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am wasting hours trying to find a good summary.</w:t>
            </w:r>
          </w:p>
          <w:p w14:paraId="4B26599E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want to learn, but this text is impenetrable.</w:t>
            </w:r>
          </w:p>
        </w:tc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52875615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SAYS</w:t>
            </w:r>
          </w:p>
          <w:p w14:paraId="59569210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understand the video, but I can't solve the actual homework problems.</w:t>
            </w:r>
          </w:p>
          <w:p w14:paraId="56C88403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I just need someone to explain this bug simply, without the jargon.</w:t>
            </w:r>
          </w:p>
          <w:p w14:paraId="5CEAD367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There aren't enough practice tests available for this niche topic.</w:t>
            </w:r>
          </w:p>
        </w:tc>
      </w:tr>
      <w:tr w14:paraId="22B78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50868C1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DOES</w:t>
            </w:r>
          </w:p>
          <w:p w14:paraId="69651C71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Keeps 25+ browser tabs open across YouTube, StackOverflow, and Reddit.</w:t>
            </w:r>
          </w:p>
          <w:p w14:paraId="3BB1FB94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Highlights entire chapters of text indiscriminately while reading.</w:t>
            </w:r>
          </w:p>
          <w:p w14:paraId="438B85A8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Resorts to rote memorization and cramming right before deadlines.</w:t>
            </w:r>
          </w:p>
        </w:tc>
        <w:tc>
          <w:tcPr>
            <w:tcW w:w="4680" w:type="dxa"/>
            <w:shd w:val="clear" w:color="auto" w:fill="F4F6F9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AE23CCE">
            <w:pPr>
              <w:spacing w:after="80"/>
            </w:pPr>
            <w:r>
              <w:rPr>
                <w:rFonts w:ascii="Calibri" w:hAnsi="Calibri"/>
                <w:b/>
                <w:color w:val="1B365D"/>
                <w:sz w:val="24"/>
              </w:rPr>
              <w:t>FEELS</w:t>
            </w:r>
          </w:p>
          <w:p w14:paraId="511E4304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Anxious about maintaining competitive grade scales.</w:t>
            </w:r>
          </w:p>
          <w:p w14:paraId="75BCDE89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Paralyzed by formatting, syntax, or conceptual bugs.</w:t>
            </w:r>
          </w:p>
          <w:p w14:paraId="485867DA">
            <w:pPr>
              <w:pStyle w:val="23"/>
              <w:spacing w:before="40" w:after="40"/>
            </w:pPr>
            <w:r>
              <w:rPr>
                <w:rFonts w:ascii="Calibri" w:hAnsi="Calibri"/>
                <w:sz w:val="21"/>
              </w:rPr>
              <w:t>Defeated by non-interactive, rigid learning paths.</w:t>
            </w:r>
          </w:p>
        </w:tc>
      </w:tr>
    </w:tbl>
    <w:p w14:paraId="63A4C97A">
      <w:pPr>
        <w:spacing w:before="240"/>
      </w:pPr>
    </w:p>
    <w:p w14:paraId="77656F0D">
      <w:pPr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3.1 Pain Points</w:t>
      </w:r>
    </w:p>
    <w:p w14:paraId="026C4D51">
      <w:pPr>
        <w:pStyle w:val="23"/>
        <w:spacing w:after="60"/>
      </w:pPr>
      <w:r>
        <w:rPr>
          <w:rFonts w:ascii="Calibri" w:hAnsi="Calibri"/>
          <w:b/>
        </w:rPr>
        <w:t>Friction of Context Switching:</w:t>
      </w:r>
      <w:r>
        <w:rPr>
          <w:rFonts w:ascii="Calibri" w:hAnsi="Calibri"/>
        </w:rPr>
        <w:t xml:space="preserve"> Time and focus lost when constantly migrating between textbook PDFs, video lectures, and code editors.</w:t>
      </w:r>
    </w:p>
    <w:p w14:paraId="1094921B">
      <w:pPr>
        <w:pStyle w:val="23"/>
        <w:spacing w:after="60"/>
      </w:pPr>
      <w:r>
        <w:rPr>
          <w:rFonts w:ascii="Calibri" w:hAnsi="Calibri"/>
          <w:b/>
        </w:rPr>
        <w:t>The Hall of Mirrors Effect:</w:t>
      </w:r>
      <w:r>
        <w:rPr>
          <w:rFonts w:ascii="Calibri" w:hAnsi="Calibri"/>
        </w:rPr>
        <w:t xml:space="preserve"> Getting conflicting or overly complex explanations from unverified online sources when trying to debug or clarify a point.</w:t>
      </w:r>
    </w:p>
    <w:p w14:paraId="71B28AFA">
      <w:pPr>
        <w:pStyle w:val="23"/>
        <w:spacing w:after="60"/>
      </w:pPr>
      <w:r>
        <w:rPr>
          <w:rFonts w:ascii="Calibri" w:hAnsi="Calibri"/>
          <w:b/>
        </w:rPr>
        <w:t>Assessment Scarcity:</w:t>
      </w:r>
      <w:r>
        <w:rPr>
          <w:rFonts w:ascii="Calibri" w:hAnsi="Calibri"/>
        </w:rPr>
        <w:t xml:space="preserve"> A lack of targeted, high-quality practice questions that accurately mirror the specific curriculum a student is being tested on.</w:t>
      </w:r>
    </w:p>
    <w:p w14:paraId="5FCB55DA">
      <w:pPr>
        <w:keepNext/>
        <w:spacing w:before="240" w:after="80"/>
      </w:pPr>
      <w:r>
        <w:rPr>
          <w:rFonts w:ascii="Calibri" w:hAnsi="Calibri"/>
          <w:b/>
          <w:color w:val="1B365D"/>
          <w:sz w:val="28"/>
        </w:rPr>
        <w:t>3.2 Expected Gains</w:t>
      </w:r>
    </w:p>
    <w:p w14:paraId="01822321">
      <w:pPr>
        <w:pStyle w:val="23"/>
        <w:spacing w:after="60"/>
      </w:pPr>
      <w:r>
        <w:rPr>
          <w:rFonts w:ascii="Calibri" w:hAnsi="Calibri"/>
          <w:b/>
        </w:rPr>
        <w:t>Velocity of Comprehension:</w:t>
      </w:r>
      <w:r>
        <w:rPr>
          <w:rFonts w:ascii="Calibri" w:hAnsi="Calibri"/>
        </w:rPr>
        <w:t xml:space="preserve"> Drastically reducing the time it takes to move from a state of confusion to operational mastery of a concept.</w:t>
      </w:r>
    </w:p>
    <w:p w14:paraId="05A3F163">
      <w:pPr>
        <w:pStyle w:val="23"/>
        <w:spacing w:after="60"/>
      </w:pPr>
      <w:r>
        <w:rPr>
          <w:rFonts w:ascii="Calibri" w:hAnsi="Calibri"/>
          <w:b/>
        </w:rPr>
        <w:t>Asynchronous Confidence:</w:t>
      </w:r>
      <w:r>
        <w:rPr>
          <w:rFonts w:ascii="Calibri" w:hAnsi="Calibri"/>
        </w:rPr>
        <w:t xml:space="preserve"> The security of knowing a high-tier, patient academic mentor is available 24/7 to answer custom questions safely.</w:t>
      </w:r>
    </w:p>
    <w:p w14:paraId="41A4C91C">
      <w:pPr>
        <w:pStyle w:val="23"/>
        <w:spacing w:after="60"/>
      </w:pPr>
      <w:r>
        <w:rPr>
          <w:rFonts w:ascii="Calibri" w:hAnsi="Calibri"/>
          <w:b/>
        </w:rPr>
        <w:t>Metacognitive Growth:</w:t>
      </w:r>
      <w:r>
        <w:rPr>
          <w:rFonts w:ascii="Calibri" w:hAnsi="Calibri"/>
        </w:rPr>
        <w:t xml:space="preserve"> Helping students learn how to study more effectively by exposing structural gaps in their knowledge via dynamic, adaptive quizzing.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21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1771</Characters>
  <Lines>0</Lines>
  <Paragraphs>0</Paragraphs>
  <TotalTime>0</TotalTime>
  <ScaleCrop>false</ScaleCrop>
  <LinksUpToDate>false</LinksUpToDate>
  <CharactersWithSpaces>2040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ELCOT</cp:lastModifiedBy>
  <dcterms:modified xsi:type="dcterms:W3CDTF">2026-09-29T14:12:49Z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4F64AD842ED44A72BAB2F7C77585436B_13</vt:lpwstr>
  </property>
</Properties>
</file>