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A7D0DF">
      <w:pPr>
        <w:spacing w:before="0" w:after="80"/>
      </w:pPr>
      <w:bookmarkStart w:id="0" w:name="_GoBack"/>
      <w:bookmarkEnd w:id="0"/>
      <w:r>
        <w:rPr>
          <w:rFonts w:ascii="Arial" w:hAnsi="Arial"/>
          <w:b/>
          <w:color w:val="1A73E2"/>
          <w:sz w:val="48"/>
        </w:rPr>
        <w:t>EduGenie: Google Gemini-Powered Learning Assistant</w:t>
      </w:r>
    </w:p>
    <w:p w14:paraId="0A155F63">
      <w:pPr>
        <w:spacing w:before="0" w:after="480"/>
      </w:pPr>
      <w:r>
        <w:rPr>
          <w:rFonts w:ascii="Arial" w:hAnsi="Arial"/>
          <w:color w:val="5F6368"/>
          <w:sz w:val="28"/>
        </w:rPr>
        <w:t>Comprehensive Performance &amp; Project Testing Specification</w:t>
      </w:r>
    </w:p>
    <w:p w14:paraId="23EC955B">
      <w:pPr>
        <w:keepNext/>
        <w:spacing w:before="360" w:after="120"/>
      </w:pPr>
      <w:r>
        <w:rPr>
          <w:rFonts w:ascii="Arial" w:hAnsi="Arial"/>
          <w:b/>
          <w:color w:val="1A73E2"/>
          <w:sz w:val="32"/>
        </w:rPr>
        <w:t>1. Executive Testing Strategy &amp; Scope</w:t>
      </w:r>
    </w:p>
    <w:p w14:paraId="054A9D87">
      <w:r>
        <w:t>This document outlines the rigorous verification framework designed to evaluate the enterprise readiness of the EduGenie AI platform. As an orchestration layer relying heavily on Google Gemini 1.5 Pro and Flash API endpoints, the focus shifts from traditional compute-bound testing to network-bound, LLM context-window, token-throughput, and latency-optimized verification. The objective is to guarantee a seamless, zero-lag learning experience under strict data security constraints.</w:t>
      </w:r>
    </w:p>
    <w:p w14:paraId="348678D5">
      <w:pPr>
        <w:keepNext/>
        <w:spacing w:before="360" w:after="120"/>
      </w:pPr>
      <w:r>
        <w:rPr>
          <w:rFonts w:ascii="Arial" w:hAnsi="Arial"/>
          <w:b/>
          <w:color w:val="1A73E2"/>
          <w:sz w:val="32"/>
        </w:rPr>
        <w:t>2. Project Testing Framework</w:t>
      </w:r>
    </w:p>
    <w:p w14:paraId="1484C29F">
      <w:r>
        <w:t>The overarching project testing matrix covers cross-functional domains including conversational accuracy, multi-modal alignment, and RAG grounding verification:</w:t>
      </w:r>
    </w:p>
    <w:tbl>
      <w:tblPr>
        <w:tblStyle w:val="12"/>
        <w:tblW w:w="0" w:type="auto"/>
        <w:jc w:val="center"/>
        <w:tblBorders>
          <w:top w:val="single" w:color="DADCE0" w:sz="4" w:space="0"/>
          <w:left w:val="none" w:color="auto" w:sz="0" w:space="0"/>
          <w:bottom w:val="single" w:color="DADCE0" w:sz="4" w:space="0"/>
          <w:right w:val="none" w:color="auto" w:sz="0" w:space="0"/>
          <w:insideH w:val="single" w:color="DADCE0" w:sz="4" w:space="0"/>
          <w:insideV w:val="none" w:color="auto" w:sz="0" w:space="0"/>
        </w:tblBorders>
        <w:tblLayout w:type="autofit"/>
        <w:tblCellMar>
          <w:top w:w="0" w:type="dxa"/>
          <w:left w:w="108" w:type="dxa"/>
          <w:bottom w:w="0" w:type="dxa"/>
          <w:right w:w="108" w:type="dxa"/>
        </w:tblCellMar>
      </w:tblPr>
      <w:tblGrid>
        <w:gridCol w:w="2160"/>
        <w:gridCol w:w="2592"/>
        <w:gridCol w:w="2448"/>
        <w:gridCol w:w="2160"/>
      </w:tblGrid>
      <w:tr w14:paraId="39414A31">
        <w:tblPrEx>
          <w:tblBorders>
            <w:top w:val="single" w:color="DADCE0" w:sz="4" w:space="0"/>
            <w:left w:val="none" w:color="auto" w:sz="0" w:space="0"/>
            <w:bottom w:val="single" w:color="DADCE0" w:sz="4" w:space="0"/>
            <w:right w:val="none" w:color="auto" w:sz="0" w:space="0"/>
            <w:insideH w:val="single" w:color="DADCE0" w:sz="4" w:space="0"/>
            <w:insideV w:val="none" w:color="auto" w:sz="0" w:space="0"/>
          </w:tblBorders>
          <w:tblCellMar>
            <w:top w:w="0" w:type="dxa"/>
            <w:left w:w="108" w:type="dxa"/>
            <w:bottom w:w="0" w:type="dxa"/>
            <w:right w:w="108" w:type="dxa"/>
          </w:tblCellMar>
        </w:tblPrEx>
        <w:trPr>
          <w:jc w:val="center"/>
        </w:trPr>
        <w:tc>
          <w:tcPr>
            <w:tcW w:w="2160" w:type="dxa"/>
            <w:shd w:val="clear" w:color="auto" w:fill="1A73E2"/>
            <w:tcMar>
              <w:top w:w="120" w:type="dxa"/>
              <w:left w:w="150" w:type="dxa"/>
              <w:bottom w:w="120" w:type="dxa"/>
              <w:right w:w="150" w:type="dxa"/>
            </w:tcMar>
          </w:tcPr>
          <w:p w14:paraId="4413FFFD">
            <w:pPr>
              <w:jc w:val="left"/>
            </w:pPr>
            <w:r>
              <w:rPr>
                <w:b/>
                <w:color w:val="FFFFFF"/>
              </w:rPr>
              <w:t>Testing Domain</w:t>
            </w:r>
          </w:p>
        </w:tc>
        <w:tc>
          <w:tcPr>
            <w:tcW w:w="2592" w:type="dxa"/>
            <w:shd w:val="clear" w:color="auto" w:fill="1A73E2"/>
            <w:tcMar>
              <w:top w:w="120" w:type="dxa"/>
              <w:left w:w="150" w:type="dxa"/>
              <w:bottom w:w="120" w:type="dxa"/>
              <w:right w:w="150" w:type="dxa"/>
            </w:tcMar>
          </w:tcPr>
          <w:p w14:paraId="7371FA9E">
            <w:pPr>
              <w:jc w:val="left"/>
            </w:pPr>
            <w:r>
              <w:rPr>
                <w:b/>
                <w:color w:val="FFFFFF"/>
              </w:rPr>
              <w:t>Objective</w:t>
            </w:r>
          </w:p>
        </w:tc>
        <w:tc>
          <w:tcPr>
            <w:tcW w:w="2448" w:type="dxa"/>
            <w:shd w:val="clear" w:color="auto" w:fill="1A73E2"/>
            <w:tcMar>
              <w:top w:w="120" w:type="dxa"/>
              <w:left w:w="150" w:type="dxa"/>
              <w:bottom w:w="120" w:type="dxa"/>
              <w:right w:w="150" w:type="dxa"/>
            </w:tcMar>
          </w:tcPr>
          <w:p w14:paraId="79D2D64E">
            <w:pPr>
              <w:jc w:val="left"/>
            </w:pPr>
            <w:r>
              <w:rPr>
                <w:b/>
                <w:color w:val="FFFFFF"/>
              </w:rPr>
              <w:t>Methodology / Tooling</w:t>
            </w:r>
          </w:p>
        </w:tc>
        <w:tc>
          <w:tcPr>
            <w:tcW w:w="2160" w:type="dxa"/>
            <w:shd w:val="clear" w:color="auto" w:fill="1A73E2"/>
            <w:tcMar>
              <w:top w:w="120" w:type="dxa"/>
              <w:left w:w="150" w:type="dxa"/>
              <w:bottom w:w="120" w:type="dxa"/>
              <w:right w:w="150" w:type="dxa"/>
            </w:tcMar>
          </w:tcPr>
          <w:p w14:paraId="4DB64BE9">
            <w:pPr>
              <w:jc w:val="left"/>
            </w:pPr>
            <w:r>
              <w:rPr>
                <w:b/>
                <w:color w:val="FFFFFF"/>
              </w:rPr>
              <w:t>Success Criteria</w:t>
            </w:r>
          </w:p>
        </w:tc>
      </w:tr>
      <w:tr w14:paraId="54B4AADF">
        <w:tblPrEx>
          <w:tblBorders>
            <w:top w:val="single" w:color="DADCE0" w:sz="4" w:space="0"/>
            <w:left w:val="none" w:color="auto" w:sz="0" w:space="0"/>
            <w:bottom w:val="single" w:color="DADCE0" w:sz="4" w:space="0"/>
            <w:right w:val="none" w:color="auto" w:sz="0" w:space="0"/>
            <w:insideH w:val="single" w:color="DADCE0" w:sz="4" w:space="0"/>
            <w:insideV w:val="none" w:color="auto" w:sz="0" w:space="0"/>
          </w:tblBorders>
          <w:tblCellMar>
            <w:top w:w="0" w:type="dxa"/>
            <w:left w:w="108" w:type="dxa"/>
            <w:bottom w:w="0" w:type="dxa"/>
            <w:right w:w="108" w:type="dxa"/>
          </w:tblCellMar>
        </w:tblPrEx>
        <w:trPr>
          <w:jc w:val="center"/>
        </w:trPr>
        <w:tc>
          <w:tcPr>
            <w:tcW w:w="2160" w:type="dxa"/>
            <w:tcMar>
              <w:top w:w="100" w:type="dxa"/>
              <w:left w:w="150" w:type="dxa"/>
              <w:bottom w:w="100" w:type="dxa"/>
              <w:right w:w="150" w:type="dxa"/>
            </w:tcMar>
          </w:tcPr>
          <w:p w14:paraId="6AEB7F90">
            <w:r>
              <w:t>Functional &amp; RAG Grounding</w:t>
            </w:r>
          </w:p>
        </w:tc>
        <w:tc>
          <w:tcPr>
            <w:tcW w:w="2592" w:type="dxa"/>
            <w:tcMar>
              <w:top w:w="100" w:type="dxa"/>
              <w:left w:w="150" w:type="dxa"/>
              <w:bottom w:w="100" w:type="dxa"/>
              <w:right w:w="150" w:type="dxa"/>
            </w:tcMar>
          </w:tcPr>
          <w:p w14:paraId="7A2A76DB">
            <w:r>
              <w:t>Validate zero-hallucination responses against context files.</w:t>
            </w:r>
          </w:p>
        </w:tc>
        <w:tc>
          <w:tcPr>
            <w:tcW w:w="2448" w:type="dxa"/>
            <w:tcMar>
              <w:top w:w="100" w:type="dxa"/>
              <w:left w:w="150" w:type="dxa"/>
              <w:bottom w:w="100" w:type="dxa"/>
              <w:right w:w="150" w:type="dxa"/>
            </w:tcMar>
          </w:tcPr>
          <w:p w14:paraId="5EECF3F3">
            <w:r>
              <w:t>Ragas Framework, Gemini API evaluation datasets.</w:t>
            </w:r>
          </w:p>
        </w:tc>
        <w:tc>
          <w:tcPr>
            <w:tcW w:w="2160" w:type="dxa"/>
            <w:tcMar>
              <w:top w:w="100" w:type="dxa"/>
              <w:left w:w="150" w:type="dxa"/>
              <w:bottom w:w="100" w:type="dxa"/>
              <w:right w:w="150" w:type="dxa"/>
            </w:tcMar>
          </w:tcPr>
          <w:p w14:paraId="0A966096">
            <w:r>
              <w:t>Faithfulness score &gt; 0.95; Answer relevance &gt; 0.92.</w:t>
            </w:r>
          </w:p>
        </w:tc>
      </w:tr>
      <w:tr w14:paraId="0B992A71">
        <w:tblPrEx>
          <w:tblBorders>
            <w:top w:val="single" w:color="DADCE0" w:sz="4" w:space="0"/>
            <w:left w:val="none" w:color="auto" w:sz="0" w:space="0"/>
            <w:bottom w:val="single" w:color="DADCE0" w:sz="4" w:space="0"/>
            <w:right w:val="none" w:color="auto" w:sz="0" w:space="0"/>
            <w:insideH w:val="single" w:color="DADCE0" w:sz="4" w:space="0"/>
            <w:insideV w:val="none" w:color="auto" w:sz="0" w:space="0"/>
          </w:tblBorders>
          <w:tblCellMar>
            <w:top w:w="0" w:type="dxa"/>
            <w:left w:w="108" w:type="dxa"/>
            <w:bottom w:w="0" w:type="dxa"/>
            <w:right w:w="108" w:type="dxa"/>
          </w:tblCellMar>
        </w:tblPrEx>
        <w:trPr>
          <w:jc w:val="center"/>
        </w:trPr>
        <w:tc>
          <w:tcPr>
            <w:tcW w:w="2160" w:type="dxa"/>
            <w:shd w:val="clear" w:color="auto" w:fill="F1F3F4"/>
            <w:tcMar>
              <w:top w:w="100" w:type="dxa"/>
              <w:left w:w="150" w:type="dxa"/>
              <w:bottom w:w="100" w:type="dxa"/>
              <w:right w:w="150" w:type="dxa"/>
            </w:tcMar>
          </w:tcPr>
          <w:p w14:paraId="107DCEEE">
            <w:r>
              <w:t>Multimodal Ingestion</w:t>
            </w:r>
          </w:p>
        </w:tc>
        <w:tc>
          <w:tcPr>
            <w:tcW w:w="2592" w:type="dxa"/>
            <w:shd w:val="clear" w:color="auto" w:fill="F1F3F4"/>
            <w:tcMar>
              <w:top w:w="100" w:type="dxa"/>
              <w:left w:w="150" w:type="dxa"/>
              <w:bottom w:w="100" w:type="dxa"/>
              <w:right w:w="150" w:type="dxa"/>
            </w:tcMar>
          </w:tcPr>
          <w:p w14:paraId="2A28A11B">
            <w:r>
              <w:t>Ensure seamless tokenization of PDFs, video logs, and charts.</w:t>
            </w:r>
          </w:p>
        </w:tc>
        <w:tc>
          <w:tcPr>
            <w:tcW w:w="2448" w:type="dxa"/>
            <w:shd w:val="clear" w:color="auto" w:fill="F1F3F4"/>
            <w:tcMar>
              <w:top w:w="100" w:type="dxa"/>
              <w:left w:w="150" w:type="dxa"/>
              <w:bottom w:w="100" w:type="dxa"/>
              <w:right w:w="150" w:type="dxa"/>
            </w:tcMar>
          </w:tcPr>
          <w:p w14:paraId="0B17A922">
            <w:r>
              <w:t>PyTest, Cypress (UI integration testing).</w:t>
            </w:r>
          </w:p>
        </w:tc>
        <w:tc>
          <w:tcPr>
            <w:tcW w:w="2160" w:type="dxa"/>
            <w:shd w:val="clear" w:color="auto" w:fill="F1F3F4"/>
            <w:tcMar>
              <w:top w:w="100" w:type="dxa"/>
              <w:left w:w="150" w:type="dxa"/>
              <w:bottom w:w="100" w:type="dxa"/>
              <w:right w:w="150" w:type="dxa"/>
            </w:tcMar>
          </w:tcPr>
          <w:p w14:paraId="4945D370">
            <w:r>
              <w:t>Successful indexing of 100% of standard file formats without data dropping.</w:t>
            </w:r>
          </w:p>
        </w:tc>
      </w:tr>
      <w:tr w14:paraId="692E60AB">
        <w:tblPrEx>
          <w:tblBorders>
            <w:top w:val="single" w:color="DADCE0" w:sz="4" w:space="0"/>
            <w:left w:val="none" w:color="auto" w:sz="0" w:space="0"/>
            <w:bottom w:val="single" w:color="DADCE0" w:sz="4" w:space="0"/>
            <w:right w:val="none" w:color="auto" w:sz="0" w:space="0"/>
            <w:insideH w:val="single" w:color="DADCE0" w:sz="4" w:space="0"/>
            <w:insideV w:val="none" w:color="auto" w:sz="0" w:space="0"/>
          </w:tblBorders>
          <w:tblCellMar>
            <w:top w:w="0" w:type="dxa"/>
            <w:left w:w="108" w:type="dxa"/>
            <w:bottom w:w="0" w:type="dxa"/>
            <w:right w:w="108" w:type="dxa"/>
          </w:tblCellMar>
        </w:tblPrEx>
        <w:trPr>
          <w:jc w:val="center"/>
        </w:trPr>
        <w:tc>
          <w:tcPr>
            <w:tcW w:w="2160" w:type="dxa"/>
            <w:tcMar>
              <w:top w:w="100" w:type="dxa"/>
              <w:left w:w="150" w:type="dxa"/>
              <w:bottom w:w="100" w:type="dxa"/>
              <w:right w:w="150" w:type="dxa"/>
            </w:tcMar>
          </w:tcPr>
          <w:p w14:paraId="6B087206">
            <w:r>
              <w:t>Security &amp; Compliance</w:t>
            </w:r>
          </w:p>
        </w:tc>
        <w:tc>
          <w:tcPr>
            <w:tcW w:w="2592" w:type="dxa"/>
            <w:tcMar>
              <w:top w:w="100" w:type="dxa"/>
              <w:left w:w="150" w:type="dxa"/>
              <w:bottom w:w="100" w:type="dxa"/>
              <w:right w:w="150" w:type="dxa"/>
            </w:tcMar>
          </w:tcPr>
          <w:p w14:paraId="1629A3E1">
            <w:r>
              <w:t>Verify data privacy boundary and zero-retention rules.</w:t>
            </w:r>
          </w:p>
        </w:tc>
        <w:tc>
          <w:tcPr>
            <w:tcW w:w="2448" w:type="dxa"/>
            <w:tcMar>
              <w:top w:w="100" w:type="dxa"/>
              <w:left w:w="150" w:type="dxa"/>
              <w:bottom w:w="100" w:type="dxa"/>
              <w:right w:w="150" w:type="dxa"/>
            </w:tcMar>
          </w:tcPr>
          <w:p w14:paraId="7E97C317">
            <w:r>
              <w:t>OWASP ZAP, Google Cloud IAM security audit.</w:t>
            </w:r>
          </w:p>
        </w:tc>
        <w:tc>
          <w:tcPr>
            <w:tcW w:w="2160" w:type="dxa"/>
            <w:tcMar>
              <w:top w:w="100" w:type="dxa"/>
              <w:left w:w="150" w:type="dxa"/>
              <w:bottom w:w="100" w:type="dxa"/>
              <w:right w:w="150" w:type="dxa"/>
            </w:tcMar>
          </w:tcPr>
          <w:p w14:paraId="5D1E48B2">
            <w:r>
              <w:t>Zero leakage of PII into public foundation model spaces.</w:t>
            </w:r>
          </w:p>
        </w:tc>
      </w:tr>
      <w:tr w14:paraId="5E322CFD">
        <w:tblPrEx>
          <w:tblBorders>
            <w:top w:val="single" w:color="DADCE0" w:sz="4" w:space="0"/>
            <w:left w:val="none" w:color="auto" w:sz="0" w:space="0"/>
            <w:bottom w:val="single" w:color="DADCE0" w:sz="4" w:space="0"/>
            <w:right w:val="none" w:color="auto" w:sz="0" w:space="0"/>
            <w:insideH w:val="single" w:color="DADCE0" w:sz="4" w:space="0"/>
            <w:insideV w:val="none" w:color="auto" w:sz="0" w:space="0"/>
          </w:tblBorders>
          <w:tblCellMar>
            <w:top w:w="0" w:type="dxa"/>
            <w:left w:w="108" w:type="dxa"/>
            <w:bottom w:w="0" w:type="dxa"/>
            <w:right w:w="108" w:type="dxa"/>
          </w:tblCellMar>
        </w:tblPrEx>
        <w:trPr>
          <w:jc w:val="center"/>
        </w:trPr>
        <w:tc>
          <w:tcPr>
            <w:tcW w:w="2160" w:type="dxa"/>
            <w:shd w:val="clear" w:color="auto" w:fill="F1F3F4"/>
            <w:tcMar>
              <w:top w:w="100" w:type="dxa"/>
              <w:left w:w="150" w:type="dxa"/>
              <w:bottom w:w="100" w:type="dxa"/>
              <w:right w:w="150" w:type="dxa"/>
            </w:tcMar>
          </w:tcPr>
          <w:p w14:paraId="003C3DFE">
            <w:r>
              <w:t>User Acceptance (UAT)</w:t>
            </w:r>
          </w:p>
        </w:tc>
        <w:tc>
          <w:tcPr>
            <w:tcW w:w="2592" w:type="dxa"/>
            <w:shd w:val="clear" w:color="auto" w:fill="F1F3F4"/>
            <w:tcMar>
              <w:top w:w="100" w:type="dxa"/>
              <w:left w:w="150" w:type="dxa"/>
              <w:bottom w:w="100" w:type="dxa"/>
              <w:right w:w="150" w:type="dxa"/>
            </w:tcMar>
          </w:tcPr>
          <w:p w14:paraId="40652F53">
            <w:r>
              <w:t>Assess UI usability and accessibility standards.</w:t>
            </w:r>
          </w:p>
        </w:tc>
        <w:tc>
          <w:tcPr>
            <w:tcW w:w="2448" w:type="dxa"/>
            <w:shd w:val="clear" w:color="auto" w:fill="F1F3F4"/>
            <w:tcMar>
              <w:top w:w="100" w:type="dxa"/>
              <w:left w:w="150" w:type="dxa"/>
              <w:bottom w:w="100" w:type="dxa"/>
              <w:right w:w="150" w:type="dxa"/>
            </w:tcMar>
          </w:tcPr>
          <w:p w14:paraId="23FB44BC">
            <w:r>
              <w:t>Manual user groups, Axe Core accessibility audits.</w:t>
            </w:r>
          </w:p>
        </w:tc>
        <w:tc>
          <w:tcPr>
            <w:tcW w:w="2160" w:type="dxa"/>
            <w:shd w:val="clear" w:color="auto" w:fill="F1F3F4"/>
            <w:tcMar>
              <w:top w:w="100" w:type="dxa"/>
              <w:left w:w="150" w:type="dxa"/>
              <w:bottom w:w="100" w:type="dxa"/>
              <w:right w:w="150" w:type="dxa"/>
            </w:tcMar>
          </w:tcPr>
          <w:p w14:paraId="0FE49940">
            <w:r>
              <w:t>100% compliance with WCAG 2.1 Level AA metrics.</w:t>
            </w:r>
          </w:p>
        </w:tc>
      </w:tr>
    </w:tbl>
    <w:p w14:paraId="020549E4">
      <w:pPr>
        <w:keepNext/>
        <w:spacing w:before="360" w:after="120"/>
      </w:pPr>
      <w:r>
        <w:rPr>
          <w:rFonts w:ascii="Arial" w:hAnsi="Arial"/>
          <w:b/>
          <w:color w:val="1A73E2"/>
          <w:sz w:val="32"/>
        </w:rPr>
        <w:t>3. Performance Testing Specification</w:t>
      </w:r>
    </w:p>
    <w:p w14:paraId="09C45CE0">
      <w:r>
        <w:t>Performance testing for EduGenie addresses the unique bottlenecks introduced by generative AI applications, specifically focused on API throttling, token streaming concurrency, and vector-search latency metrics.</w:t>
      </w:r>
    </w:p>
    <w:p w14:paraId="6DC2B37A">
      <w:pPr>
        <w:keepNext/>
        <w:spacing w:before="240" w:after="80"/>
      </w:pPr>
      <w:r>
        <w:rPr>
          <w:rFonts w:ascii="Arial" w:hAnsi="Arial"/>
          <w:b/>
          <w:color w:val="5F6368"/>
          <w:sz w:val="26"/>
        </w:rPr>
        <w:t>3.1 Key Performance Indicators (KPIs)</w:t>
      </w:r>
    </w:p>
    <w:tbl>
      <w:tblPr>
        <w:tblStyle w:val="12"/>
        <w:tblW w:w="0" w:type="auto"/>
        <w:jc w:val="center"/>
        <w:tblBorders>
          <w:top w:val="single" w:color="DADCE0" w:sz="4" w:space="0"/>
          <w:left w:val="none" w:color="auto" w:sz="0" w:space="0"/>
          <w:bottom w:val="single" w:color="DADCE0" w:sz="4" w:space="0"/>
          <w:right w:val="none" w:color="auto" w:sz="0" w:space="0"/>
          <w:insideH w:val="single" w:color="DADCE0" w:sz="4" w:space="0"/>
          <w:insideV w:val="none" w:color="auto" w:sz="0" w:space="0"/>
        </w:tblBorders>
        <w:tblLayout w:type="autofit"/>
        <w:tblCellMar>
          <w:top w:w="0" w:type="dxa"/>
          <w:left w:w="108" w:type="dxa"/>
          <w:bottom w:w="0" w:type="dxa"/>
          <w:right w:w="108" w:type="dxa"/>
        </w:tblCellMar>
      </w:tblPr>
      <w:tblGrid>
        <w:gridCol w:w="2592"/>
        <w:gridCol w:w="2016"/>
        <w:gridCol w:w="2160"/>
        <w:gridCol w:w="2592"/>
      </w:tblGrid>
      <w:tr w14:paraId="1F29FFA2">
        <w:tblPrEx>
          <w:tblBorders>
            <w:top w:val="single" w:color="DADCE0" w:sz="4" w:space="0"/>
            <w:left w:val="none" w:color="auto" w:sz="0" w:space="0"/>
            <w:bottom w:val="single" w:color="DADCE0" w:sz="4" w:space="0"/>
            <w:right w:val="none" w:color="auto" w:sz="0" w:space="0"/>
            <w:insideH w:val="single" w:color="DADCE0" w:sz="4" w:space="0"/>
            <w:insideV w:val="none" w:color="auto" w:sz="0" w:space="0"/>
          </w:tblBorders>
          <w:tblCellMar>
            <w:top w:w="0" w:type="dxa"/>
            <w:left w:w="108" w:type="dxa"/>
            <w:bottom w:w="0" w:type="dxa"/>
            <w:right w:w="108" w:type="dxa"/>
          </w:tblCellMar>
        </w:tblPrEx>
        <w:trPr>
          <w:jc w:val="center"/>
        </w:trPr>
        <w:tc>
          <w:tcPr>
            <w:tcW w:w="2592" w:type="dxa"/>
            <w:shd w:val="clear" w:color="auto" w:fill="1A73E2"/>
            <w:tcMar>
              <w:top w:w="120" w:type="dxa"/>
              <w:left w:w="150" w:type="dxa"/>
              <w:bottom w:w="120" w:type="dxa"/>
              <w:right w:w="150" w:type="dxa"/>
            </w:tcMar>
          </w:tcPr>
          <w:p w14:paraId="7D3DFCD3">
            <w:pPr>
              <w:jc w:val="left"/>
            </w:pPr>
            <w:r>
              <w:rPr>
                <w:b/>
                <w:color w:val="FFFFFF"/>
              </w:rPr>
              <w:t>Performance Metric</w:t>
            </w:r>
          </w:p>
        </w:tc>
        <w:tc>
          <w:tcPr>
            <w:tcW w:w="2016" w:type="dxa"/>
            <w:shd w:val="clear" w:color="auto" w:fill="1A73E2"/>
            <w:tcMar>
              <w:top w:w="120" w:type="dxa"/>
              <w:left w:w="150" w:type="dxa"/>
              <w:bottom w:w="120" w:type="dxa"/>
              <w:right w:w="150" w:type="dxa"/>
            </w:tcMar>
          </w:tcPr>
          <w:p w14:paraId="35B6159E">
            <w:pPr>
              <w:jc w:val="left"/>
            </w:pPr>
            <w:r>
              <w:rPr>
                <w:b/>
                <w:color w:val="FFFFFF"/>
              </w:rPr>
              <w:t>Target Baseline</w:t>
            </w:r>
          </w:p>
        </w:tc>
        <w:tc>
          <w:tcPr>
            <w:tcW w:w="2160" w:type="dxa"/>
            <w:shd w:val="clear" w:color="auto" w:fill="1A73E2"/>
            <w:tcMar>
              <w:top w:w="120" w:type="dxa"/>
              <w:left w:w="150" w:type="dxa"/>
              <w:bottom w:w="120" w:type="dxa"/>
              <w:right w:w="150" w:type="dxa"/>
            </w:tcMar>
          </w:tcPr>
          <w:p w14:paraId="447BDEB6">
            <w:pPr>
              <w:jc w:val="left"/>
            </w:pPr>
            <w:r>
              <w:rPr>
                <w:b/>
                <w:color w:val="FFFFFF"/>
              </w:rPr>
              <w:t>Max Threshold (SLA)</w:t>
            </w:r>
          </w:p>
        </w:tc>
        <w:tc>
          <w:tcPr>
            <w:tcW w:w="2592" w:type="dxa"/>
            <w:shd w:val="clear" w:color="auto" w:fill="1A73E2"/>
            <w:tcMar>
              <w:top w:w="120" w:type="dxa"/>
              <w:left w:w="150" w:type="dxa"/>
              <w:bottom w:w="120" w:type="dxa"/>
              <w:right w:w="150" w:type="dxa"/>
            </w:tcMar>
          </w:tcPr>
          <w:p w14:paraId="7407F990">
            <w:pPr>
              <w:jc w:val="left"/>
            </w:pPr>
            <w:r>
              <w:rPr>
                <w:b/>
                <w:color w:val="FFFFFF"/>
              </w:rPr>
              <w:t>Measurement Boundary</w:t>
            </w:r>
          </w:p>
        </w:tc>
      </w:tr>
      <w:tr w14:paraId="5F15B928">
        <w:tblPrEx>
          <w:tblBorders>
            <w:top w:val="single" w:color="DADCE0" w:sz="4" w:space="0"/>
            <w:left w:val="none" w:color="auto" w:sz="0" w:space="0"/>
            <w:bottom w:val="single" w:color="DADCE0" w:sz="4" w:space="0"/>
            <w:right w:val="none" w:color="auto" w:sz="0" w:space="0"/>
            <w:insideH w:val="single" w:color="DADCE0" w:sz="4" w:space="0"/>
            <w:insideV w:val="none" w:color="auto" w:sz="0" w:space="0"/>
          </w:tblBorders>
          <w:tblCellMar>
            <w:top w:w="0" w:type="dxa"/>
            <w:left w:w="108" w:type="dxa"/>
            <w:bottom w:w="0" w:type="dxa"/>
            <w:right w:w="108" w:type="dxa"/>
          </w:tblCellMar>
        </w:tblPrEx>
        <w:trPr>
          <w:jc w:val="center"/>
        </w:trPr>
        <w:tc>
          <w:tcPr>
            <w:tcW w:w="2592" w:type="dxa"/>
            <w:tcMar>
              <w:top w:w="100" w:type="dxa"/>
              <w:left w:w="150" w:type="dxa"/>
              <w:bottom w:w="100" w:type="dxa"/>
              <w:right w:w="150" w:type="dxa"/>
            </w:tcMar>
          </w:tcPr>
          <w:p w14:paraId="66A1C97A">
            <w:r>
              <w:t>Time to First Token (TTFT)</w:t>
            </w:r>
          </w:p>
        </w:tc>
        <w:tc>
          <w:tcPr>
            <w:tcW w:w="2016" w:type="dxa"/>
            <w:tcMar>
              <w:top w:w="100" w:type="dxa"/>
              <w:left w:w="150" w:type="dxa"/>
              <w:bottom w:w="100" w:type="dxa"/>
              <w:right w:w="150" w:type="dxa"/>
            </w:tcMar>
          </w:tcPr>
          <w:p w14:paraId="592D837D">
            <w:r>
              <w:t>800 ms</w:t>
            </w:r>
          </w:p>
        </w:tc>
        <w:tc>
          <w:tcPr>
            <w:tcW w:w="2160" w:type="dxa"/>
            <w:tcMar>
              <w:top w:w="100" w:type="dxa"/>
              <w:left w:w="150" w:type="dxa"/>
              <w:bottom w:w="100" w:type="dxa"/>
              <w:right w:w="150" w:type="dxa"/>
            </w:tcMar>
          </w:tcPr>
          <w:p w14:paraId="28CA44CA">
            <w:r>
              <w:t>1500 ms</w:t>
            </w:r>
          </w:p>
        </w:tc>
        <w:tc>
          <w:tcPr>
            <w:tcW w:w="2592" w:type="dxa"/>
            <w:tcMar>
              <w:top w:w="100" w:type="dxa"/>
              <w:left w:w="150" w:type="dxa"/>
              <w:bottom w:w="100" w:type="dxa"/>
              <w:right w:w="150" w:type="dxa"/>
            </w:tcMar>
          </w:tcPr>
          <w:p w14:paraId="5D467C43">
            <w:r>
              <w:t>Streamed Chat Response via FastAPI / Gemini Flash</w:t>
            </w:r>
          </w:p>
        </w:tc>
      </w:tr>
      <w:tr w14:paraId="7F42B177">
        <w:tblPrEx>
          <w:tblBorders>
            <w:top w:val="single" w:color="DADCE0" w:sz="4" w:space="0"/>
            <w:left w:val="none" w:color="auto" w:sz="0" w:space="0"/>
            <w:bottom w:val="single" w:color="DADCE0" w:sz="4" w:space="0"/>
            <w:right w:val="none" w:color="auto" w:sz="0" w:space="0"/>
            <w:insideH w:val="single" w:color="DADCE0" w:sz="4" w:space="0"/>
            <w:insideV w:val="none" w:color="auto" w:sz="0" w:space="0"/>
          </w:tblBorders>
          <w:tblCellMar>
            <w:top w:w="0" w:type="dxa"/>
            <w:left w:w="108" w:type="dxa"/>
            <w:bottom w:w="0" w:type="dxa"/>
            <w:right w:w="108" w:type="dxa"/>
          </w:tblCellMar>
        </w:tblPrEx>
        <w:trPr>
          <w:jc w:val="center"/>
        </w:trPr>
        <w:tc>
          <w:tcPr>
            <w:tcW w:w="2592" w:type="dxa"/>
            <w:shd w:val="clear" w:color="auto" w:fill="F1F3F4"/>
            <w:tcMar>
              <w:top w:w="100" w:type="dxa"/>
              <w:left w:w="150" w:type="dxa"/>
              <w:bottom w:w="100" w:type="dxa"/>
              <w:right w:w="150" w:type="dxa"/>
            </w:tcMar>
          </w:tcPr>
          <w:p w14:paraId="141AAAEE">
            <w:r>
              <w:t>Vector DB Query Latency</w:t>
            </w:r>
          </w:p>
        </w:tc>
        <w:tc>
          <w:tcPr>
            <w:tcW w:w="2016" w:type="dxa"/>
            <w:shd w:val="clear" w:color="auto" w:fill="F1F3F4"/>
            <w:tcMar>
              <w:top w:w="100" w:type="dxa"/>
              <w:left w:w="150" w:type="dxa"/>
              <w:bottom w:w="100" w:type="dxa"/>
              <w:right w:w="150" w:type="dxa"/>
            </w:tcMar>
          </w:tcPr>
          <w:p w14:paraId="38A1071F">
            <w:r>
              <w:t>50 ms</w:t>
            </w:r>
          </w:p>
        </w:tc>
        <w:tc>
          <w:tcPr>
            <w:tcW w:w="2160" w:type="dxa"/>
            <w:shd w:val="clear" w:color="auto" w:fill="F1F3F4"/>
            <w:tcMar>
              <w:top w:w="100" w:type="dxa"/>
              <w:left w:w="150" w:type="dxa"/>
              <w:bottom w:w="100" w:type="dxa"/>
              <w:right w:w="150" w:type="dxa"/>
            </w:tcMar>
          </w:tcPr>
          <w:p w14:paraId="3D19E043">
            <w:r>
              <w:t>120 ms</w:t>
            </w:r>
          </w:p>
        </w:tc>
        <w:tc>
          <w:tcPr>
            <w:tcW w:w="2592" w:type="dxa"/>
            <w:shd w:val="clear" w:color="auto" w:fill="F1F3F4"/>
            <w:tcMar>
              <w:top w:w="100" w:type="dxa"/>
              <w:left w:w="150" w:type="dxa"/>
              <w:bottom w:w="100" w:type="dxa"/>
              <w:right w:w="150" w:type="dxa"/>
            </w:tcMar>
          </w:tcPr>
          <w:p w14:paraId="22CAB2C3">
            <w:r>
              <w:t>Pinecone Top-K document chunk retrieval</w:t>
            </w:r>
          </w:p>
        </w:tc>
      </w:tr>
      <w:tr w14:paraId="59410339">
        <w:tblPrEx>
          <w:tblBorders>
            <w:top w:val="single" w:color="DADCE0" w:sz="4" w:space="0"/>
            <w:left w:val="none" w:color="auto" w:sz="0" w:space="0"/>
            <w:bottom w:val="single" w:color="DADCE0" w:sz="4" w:space="0"/>
            <w:right w:val="none" w:color="auto" w:sz="0" w:space="0"/>
            <w:insideH w:val="single" w:color="DADCE0" w:sz="4" w:space="0"/>
            <w:insideV w:val="none" w:color="auto" w:sz="0" w:space="0"/>
          </w:tblBorders>
          <w:tblCellMar>
            <w:top w:w="0" w:type="dxa"/>
            <w:left w:w="108" w:type="dxa"/>
            <w:bottom w:w="0" w:type="dxa"/>
            <w:right w:w="108" w:type="dxa"/>
          </w:tblCellMar>
        </w:tblPrEx>
        <w:trPr>
          <w:jc w:val="center"/>
        </w:trPr>
        <w:tc>
          <w:tcPr>
            <w:tcW w:w="2592" w:type="dxa"/>
            <w:tcMar>
              <w:top w:w="100" w:type="dxa"/>
              <w:left w:w="150" w:type="dxa"/>
              <w:bottom w:w="100" w:type="dxa"/>
              <w:right w:w="150" w:type="dxa"/>
            </w:tcMar>
          </w:tcPr>
          <w:p w14:paraId="3EE091D3">
            <w:r>
              <w:t>Document Ingestion Pipeline</w:t>
            </w:r>
          </w:p>
        </w:tc>
        <w:tc>
          <w:tcPr>
            <w:tcW w:w="2016" w:type="dxa"/>
            <w:tcMar>
              <w:top w:w="100" w:type="dxa"/>
              <w:left w:w="150" w:type="dxa"/>
              <w:bottom w:w="100" w:type="dxa"/>
              <w:right w:w="150" w:type="dxa"/>
            </w:tcMar>
          </w:tcPr>
          <w:p w14:paraId="2C165DA2">
            <w:r>
              <w:t>10 sec / 50-page PDF</w:t>
            </w:r>
          </w:p>
        </w:tc>
        <w:tc>
          <w:tcPr>
            <w:tcW w:w="2160" w:type="dxa"/>
            <w:tcMar>
              <w:top w:w="100" w:type="dxa"/>
              <w:left w:w="150" w:type="dxa"/>
              <w:bottom w:w="100" w:type="dxa"/>
              <w:right w:w="150" w:type="dxa"/>
            </w:tcMar>
          </w:tcPr>
          <w:p w14:paraId="3FF8CE8C">
            <w:r>
              <w:t>30 sec / 50-page PDF</w:t>
            </w:r>
          </w:p>
        </w:tc>
        <w:tc>
          <w:tcPr>
            <w:tcW w:w="2592" w:type="dxa"/>
            <w:tcMar>
              <w:top w:w="100" w:type="dxa"/>
              <w:left w:w="150" w:type="dxa"/>
              <w:bottom w:w="100" w:type="dxa"/>
              <w:right w:w="150" w:type="dxa"/>
            </w:tcMar>
          </w:tcPr>
          <w:p w14:paraId="1F24B87E">
            <w:r>
              <w:t>Unstructured parsing, embedding extraction, DB commit</w:t>
            </w:r>
          </w:p>
        </w:tc>
      </w:tr>
      <w:tr w14:paraId="5C0DD5CB">
        <w:tblPrEx>
          <w:tblBorders>
            <w:top w:val="single" w:color="DADCE0" w:sz="4" w:space="0"/>
            <w:left w:val="none" w:color="auto" w:sz="0" w:space="0"/>
            <w:bottom w:val="single" w:color="DADCE0" w:sz="4" w:space="0"/>
            <w:right w:val="none" w:color="auto" w:sz="0" w:space="0"/>
            <w:insideH w:val="single" w:color="DADCE0" w:sz="4" w:space="0"/>
            <w:insideV w:val="none" w:color="auto" w:sz="0" w:space="0"/>
          </w:tblBorders>
          <w:tblCellMar>
            <w:top w:w="0" w:type="dxa"/>
            <w:left w:w="108" w:type="dxa"/>
            <w:bottom w:w="0" w:type="dxa"/>
            <w:right w:w="108" w:type="dxa"/>
          </w:tblCellMar>
        </w:tblPrEx>
        <w:trPr>
          <w:jc w:val="center"/>
        </w:trPr>
        <w:tc>
          <w:tcPr>
            <w:tcW w:w="2592" w:type="dxa"/>
            <w:shd w:val="clear" w:color="auto" w:fill="F1F3F4"/>
            <w:tcMar>
              <w:top w:w="100" w:type="dxa"/>
              <w:left w:w="150" w:type="dxa"/>
              <w:bottom w:w="100" w:type="dxa"/>
              <w:right w:w="150" w:type="dxa"/>
            </w:tcMar>
          </w:tcPr>
          <w:p w14:paraId="5E0ACD7D">
            <w:r>
              <w:t>Peak Concurrent Users</w:t>
            </w:r>
          </w:p>
        </w:tc>
        <w:tc>
          <w:tcPr>
            <w:tcW w:w="2016" w:type="dxa"/>
            <w:shd w:val="clear" w:color="auto" w:fill="F1F3F4"/>
            <w:tcMar>
              <w:top w:w="100" w:type="dxa"/>
              <w:left w:w="150" w:type="dxa"/>
              <w:bottom w:w="100" w:type="dxa"/>
              <w:right w:w="150" w:type="dxa"/>
            </w:tcMar>
          </w:tcPr>
          <w:p w14:paraId="056605F3">
            <w:r>
              <w:t>5,000 active sessions</w:t>
            </w:r>
          </w:p>
        </w:tc>
        <w:tc>
          <w:tcPr>
            <w:tcW w:w="2160" w:type="dxa"/>
            <w:shd w:val="clear" w:color="auto" w:fill="F1F3F4"/>
            <w:tcMar>
              <w:top w:w="100" w:type="dxa"/>
              <w:left w:w="150" w:type="dxa"/>
              <w:bottom w:w="100" w:type="dxa"/>
              <w:right w:w="150" w:type="dxa"/>
            </w:tcMar>
          </w:tcPr>
          <w:p w14:paraId="20712EFF">
            <w:r>
              <w:t>10,000 active sessions</w:t>
            </w:r>
          </w:p>
        </w:tc>
        <w:tc>
          <w:tcPr>
            <w:tcW w:w="2592" w:type="dxa"/>
            <w:shd w:val="clear" w:color="auto" w:fill="F1F3F4"/>
            <w:tcMar>
              <w:top w:w="100" w:type="dxa"/>
              <w:left w:w="150" w:type="dxa"/>
              <w:bottom w:w="100" w:type="dxa"/>
              <w:right w:w="150" w:type="dxa"/>
            </w:tcMar>
          </w:tcPr>
          <w:p w14:paraId="71EFA052">
            <w:r>
              <w:t>Sustained load across UI and backend middleware</w:t>
            </w:r>
          </w:p>
        </w:tc>
      </w:tr>
    </w:tbl>
    <w:p w14:paraId="5CB197D9">
      <w:pPr>
        <w:keepNext/>
        <w:spacing w:before="240" w:after="80"/>
      </w:pPr>
      <w:r>
        <w:rPr>
          <w:rFonts w:ascii="Arial" w:hAnsi="Arial"/>
          <w:b/>
          <w:color w:val="5F6368"/>
          <w:sz w:val="26"/>
        </w:rPr>
        <w:t>3.2 Performance Test Scenarios</w:t>
      </w:r>
    </w:p>
    <w:p w14:paraId="65DBE5A9">
      <w:pPr>
        <w:pStyle w:val="23"/>
        <w:spacing w:before="40" w:after="40"/>
      </w:pPr>
      <w:r>
        <w:rPr>
          <w:b/>
        </w:rPr>
        <w:t>Load Testing:</w:t>
      </w:r>
      <w:r>
        <w:t xml:space="preserve"> Simulating 2,500 concurrent students accessing the conversational chatbot simultaneously to verify that Redis caching and FastAPI connection pooling maintain sub-second response times.</w:t>
      </w:r>
    </w:p>
    <w:p w14:paraId="28EB0424">
      <w:pPr>
        <w:pStyle w:val="23"/>
        <w:spacing w:before="40" w:after="40"/>
      </w:pPr>
      <w:r>
        <w:rPr>
          <w:b/>
        </w:rPr>
        <w:t>Stress Testing:</w:t>
      </w:r>
      <w:r>
        <w:t xml:space="preserve"> Pushing the system past its limits (12,000 concurrent sessions) to evaluate auto-scaling rules under Google Cloud Run and detect graceful degradation mechanisms (e.g., rate-limiting fallback notices).</w:t>
      </w:r>
    </w:p>
    <w:p w14:paraId="7BB7F4AA">
      <w:pPr>
        <w:pStyle w:val="23"/>
        <w:spacing w:before="40" w:after="40"/>
      </w:pPr>
      <w:r>
        <w:rPr>
          <w:b/>
        </w:rPr>
        <w:t>Endurance / Soak Testing:</w:t>
      </w:r>
      <w:r>
        <w:t xml:space="preserve"> Running a continuous workload of 1,000 active simulated users over a 48-hour window to catch memory leaks in Python chunk-extraction scripts and observe long-term database stability.</w:t>
      </w:r>
    </w:p>
    <w:p w14:paraId="25303AD1">
      <w:pPr>
        <w:pStyle w:val="23"/>
        <w:spacing w:before="40" w:after="40"/>
      </w:pPr>
      <w:r>
        <w:rPr>
          <w:b/>
        </w:rPr>
        <w:t>Spike Testing:</w:t>
      </w:r>
      <w:r>
        <w:t xml:space="preserve"> Instantly initiating 4,000 document upload requests to mimic an end-of-semester study surge, evaluating the elasticity of the asynchronous Celery/RabbitMQ processing queues.</w:t>
      </w:r>
    </w:p>
    <w:p w14:paraId="318493EC">
      <w:pPr>
        <w:keepNext/>
        <w:spacing w:before="360" w:after="120"/>
      </w:pPr>
      <w:r>
        <w:rPr>
          <w:rFonts w:ascii="Arial" w:hAnsi="Arial"/>
          <w:b/>
          <w:color w:val="1A73E2"/>
          <w:sz w:val="32"/>
        </w:rPr>
        <w:t>4. Automation Pipeline &amp; Execution Tools</w:t>
      </w:r>
    </w:p>
    <w:p w14:paraId="39A4673C">
      <w:r>
        <w:t>To guarantee performance parity during rolling feature updates, tests will run automatically within the CI/CD pipeline using the following standard tooling setups:</w:t>
      </w:r>
    </w:p>
    <w:p w14:paraId="61D88F59">
      <w:pPr>
        <w:pStyle w:val="23"/>
        <w:spacing w:before="40" w:after="40"/>
      </w:pPr>
      <w:r>
        <w:rPr>
          <w:b/>
        </w:rPr>
        <w:t>Locust &amp; K6:</w:t>
      </w:r>
      <w:r>
        <w:t xml:space="preserve"> Used for high-concurrency load generation, mapping API endpoints and benchmarking SSE (Server-Sent Events) chat mechanisms.</w:t>
      </w:r>
    </w:p>
    <w:p w14:paraId="3F740F1E">
      <w:pPr>
        <w:pStyle w:val="23"/>
        <w:spacing w:before="40" w:after="40"/>
      </w:pPr>
      <w:r>
        <w:rPr>
          <w:b/>
        </w:rPr>
        <w:t>Prometheus &amp; Grafana:</w:t>
      </w:r>
      <w:r>
        <w:t xml:space="preserve"> Integrated natively into Google Cloud Monitoring to parse real-time cluster utilization, RAM consumption, and outbound network throughput.</w:t>
      </w:r>
    </w:p>
    <w:p w14:paraId="799F040E">
      <w:pPr>
        <w:pStyle w:val="23"/>
        <w:spacing w:before="40" w:after="40"/>
      </w:pPr>
      <w:r>
        <w:rPr>
          <w:b/>
        </w:rPr>
        <w:t>Vertex AI Profiler:</w:t>
      </w:r>
      <w:r>
        <w:t xml:space="preserve"> Monitors the latency of the underlying Gemini foundational model endpoints, helping isolate platform delays from model execution overheads.</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410336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color w:val="202124"/>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514</Words>
  <Characters>3389</Characters>
  <Lines>0</Lines>
  <Paragraphs>0</Paragraphs>
  <TotalTime>0</TotalTime>
  <ScaleCrop>false</ScaleCrop>
  <LinksUpToDate>false</LinksUpToDate>
  <CharactersWithSpaces>3844</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ELCOT</cp:lastModifiedBy>
  <dcterms:modified xsi:type="dcterms:W3CDTF">2026-09-29T14:33:09Z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61F96115DC3B45AE97DB529A8641795A_13</vt:lpwstr>
  </property>
</Properties>
</file>