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85099">
      <w:pPr>
        <w:spacing w:after="40"/>
        <w:jc w:val="left"/>
      </w:pPr>
      <w:bookmarkStart w:id="0" w:name="_GoBack"/>
      <w:bookmarkEnd w:id="0"/>
      <w:r>
        <w:rPr>
          <w:rFonts w:ascii="Arial" w:hAnsi="Arial"/>
          <w:b/>
          <w:color w:val="1A365D"/>
          <w:sz w:val="52"/>
        </w:rPr>
        <w:t>Edugenie: AI Learning Assistant</w:t>
      </w:r>
    </w:p>
    <w:p w14:paraId="00D6EB2B">
      <w:pPr>
        <w:spacing w:after="480"/>
      </w:pPr>
      <w:r>
        <w:rPr>
          <w:rFonts w:ascii="Arial" w:hAnsi="Arial"/>
          <w:i/>
          <w:color w:val="4A5568"/>
          <w:sz w:val="26"/>
        </w:rPr>
        <w:t>Project Design Phase: Documentation &amp; Executable Specification V1.1</w:t>
      </w:r>
    </w:p>
    <w:p w14:paraId="09AF99D5">
      <w:pPr>
        <w:keepNext/>
        <w:pBdr>
          <w:bottom w:val="single" w:color="2B6CB0" w:sz="6" w:space="4"/>
        </w:pBdr>
        <w:spacing w:before="360" w:after="120"/>
      </w:pPr>
      <w:r>
        <w:rPr>
          <w:rFonts w:ascii="Arial" w:hAnsi="Arial"/>
          <w:b/>
          <w:color w:val="1A365D"/>
          <w:sz w:val="32"/>
        </w:rPr>
        <w:t>1. Executive Summary &amp; Strategy</w:t>
      </w:r>
    </w:p>
    <w:p w14:paraId="5A2E337D">
      <w:r>
        <w:t>This technical specification establishes the deployment lifecycle, compilation standards, and structural blueprint of executable target artifacts for the Edugenie platform. Powered by the Google Gemini API, Edugenie shifts from simple asynchronous wrapper services to an integrated, containerized micro-runtime. This layout enforces strict isolation between deterministic software routines (such as semantic chunking networks and structural contract compliance engines) and non-deterministic cognitive pipelines (such as prompt execution paths and multi-modal audio streaming structures). This document guarantees build consistency across developer environments, staging pipelines, and elastic container clusters.</w:t>
      </w:r>
    </w:p>
    <w:p w14:paraId="57D1731C">
      <w:pPr>
        <w:keepNext/>
        <w:pBdr>
          <w:bottom w:val="single" w:color="2B6CB0" w:sz="6" w:space="4"/>
        </w:pBdr>
        <w:spacing w:before="360" w:after="120"/>
      </w:pPr>
      <w:r>
        <w:rPr>
          <w:rFonts w:ascii="Arial" w:hAnsi="Arial"/>
          <w:b/>
          <w:color w:val="1A365D"/>
          <w:sz w:val="32"/>
        </w:rPr>
        <w:t>2. Repository Architecture &amp; Directory Blueprint</w:t>
      </w:r>
    </w:p>
    <w:p w14:paraId="16C3CDE3">
      <w:r>
        <w:t>To ensure continuous integration and structural immutability, the Edugenie project workspace separates components into explicitly isolated domain layers. Below is the mandatory directory blueprint:</w:t>
      </w:r>
    </w:p>
    <w:p w14:paraId="08FC0176">
      <w:pPr>
        <w:pStyle w:val="23"/>
        <w:spacing w:after="80"/>
      </w:pPr>
      <w:r>
        <w:rPr>
          <w:b/>
          <w:color w:val="2D3748"/>
        </w:rPr>
        <w:t xml:space="preserve">src/app.py: </w:t>
      </w:r>
      <w:r>
        <w:t>The central Streamlit Enterprise application configuration, orchestration orchestrator, and real-time interaction portal.</w:t>
      </w:r>
    </w:p>
    <w:p w14:paraId="1AA52886">
      <w:pPr>
        <w:pStyle w:val="23"/>
        <w:spacing w:after="80"/>
      </w:pPr>
      <w:r>
        <w:rPr>
          <w:b/>
          <w:color w:val="2D3748"/>
        </w:rPr>
        <w:t xml:space="preserve">src/rag_worker.py: </w:t>
      </w:r>
      <w:r>
        <w:t>Asynchronous document processing grid handles content chunking, mathematical similarity mappings, and Pinecone vector integration layers.</w:t>
      </w:r>
    </w:p>
    <w:p w14:paraId="66D8B049">
      <w:pPr>
        <w:pStyle w:val="23"/>
        <w:spacing w:after="80"/>
      </w:pPr>
      <w:r>
        <w:rPr>
          <w:b/>
          <w:color w:val="2D3748"/>
        </w:rPr>
        <w:t xml:space="preserve">schemas/response_contracts.py: </w:t>
      </w:r>
      <w:r>
        <w:t>Enforces Type-safe interfaces and structural schemas using Pydantic, feeding directly into Gemini's responseSchema parameters.</w:t>
      </w:r>
    </w:p>
    <w:p w14:paraId="3647310E">
      <w:pPr>
        <w:pStyle w:val="23"/>
        <w:spacing w:after="80"/>
      </w:pPr>
      <w:r>
        <w:rPr>
          <w:b/>
          <w:color w:val="2D3748"/>
        </w:rPr>
        <w:t xml:space="preserve">deploy/Dockerfile: </w:t>
      </w:r>
      <w:r>
        <w:t>Multi-stage layer blueprint for compiling slim, production-grade container layers isolated from build dependencies.</w:t>
      </w:r>
    </w:p>
    <w:p w14:paraId="24FFA72E">
      <w:pPr>
        <w:pStyle w:val="23"/>
        <w:spacing w:after="80"/>
      </w:pPr>
      <w:r>
        <w:rPr>
          <w:b/>
          <w:color w:val="2D3748"/>
        </w:rPr>
        <w:t xml:space="preserve">dist/edugenie-runtime: </w:t>
      </w:r>
      <w:r>
        <w:t>Compiled monolithic binary package built for offline environment executions and local infrastructure testing environments.</w:t>
      </w:r>
    </w:p>
    <w:p w14:paraId="191DDC11">
      <w:pPr>
        <w:keepNext/>
        <w:pBdr>
          <w:bottom w:val="single" w:color="2B6CB0" w:sz="6" w:space="4"/>
        </w:pBdr>
        <w:spacing w:before="360" w:after="120"/>
      </w:pPr>
      <w:r>
        <w:rPr>
          <w:rFonts w:ascii="Arial" w:hAnsi="Arial"/>
          <w:b/>
          <w:color w:val="1A365D"/>
          <w:sz w:val="32"/>
        </w:rPr>
        <w:t>3. Executable Files &amp; Artifact Matrix</w:t>
      </w:r>
    </w:p>
    <w:p w14:paraId="69D03448">
      <w:r>
        <w:t>The following matrix maps critical runtime files, compiler mechanics, target environments, and deployment roles within the Edugenie ecosystem:</w:t>
      </w:r>
    </w:p>
    <w:tbl>
      <w:tblPr>
        <w:tblStyle w:val="12"/>
        <w:tblW w:w="0" w:type="auto"/>
        <w:jc w:val="center"/>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Layout w:type="autofit"/>
        <w:tblCellMar>
          <w:top w:w="0" w:type="dxa"/>
          <w:left w:w="108" w:type="dxa"/>
          <w:bottom w:w="0" w:type="dxa"/>
          <w:right w:w="108" w:type="dxa"/>
        </w:tblCellMar>
      </w:tblPr>
      <w:tblGrid>
        <w:gridCol w:w="3247"/>
        <w:gridCol w:w="2115"/>
        <w:gridCol w:w="2197"/>
        <w:gridCol w:w="2101"/>
      </w:tblGrid>
      <w:tr w14:paraId="4A2911CD">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2340" w:type="dxa"/>
            <w:shd w:val="clear" w:color="auto" w:fill="1A365D"/>
            <w:tcMar>
              <w:top w:w="120" w:type="dxa"/>
              <w:left w:w="150" w:type="dxa"/>
              <w:bottom w:w="120" w:type="dxa"/>
              <w:right w:w="150" w:type="dxa"/>
            </w:tcMar>
          </w:tcPr>
          <w:p w14:paraId="58A230E3">
            <w:pPr>
              <w:jc w:val="left"/>
            </w:pPr>
            <w:r>
              <w:rPr>
                <w:b/>
                <w:color w:val="FFFFFF"/>
                <w:sz w:val="20"/>
              </w:rPr>
              <w:t>Source/Executable Path</w:t>
            </w:r>
          </w:p>
        </w:tc>
        <w:tc>
          <w:tcPr>
            <w:tcW w:w="2340" w:type="dxa"/>
            <w:shd w:val="clear" w:color="auto" w:fill="1A365D"/>
            <w:tcMar>
              <w:top w:w="120" w:type="dxa"/>
              <w:left w:w="150" w:type="dxa"/>
              <w:bottom w:w="120" w:type="dxa"/>
              <w:right w:w="150" w:type="dxa"/>
            </w:tcMar>
          </w:tcPr>
          <w:p w14:paraId="4203EF03">
            <w:pPr>
              <w:jc w:val="left"/>
            </w:pPr>
            <w:r>
              <w:rPr>
                <w:b/>
                <w:color w:val="FFFFFF"/>
                <w:sz w:val="20"/>
              </w:rPr>
              <w:t>Compilation / Runtime Target</w:t>
            </w:r>
          </w:p>
        </w:tc>
        <w:tc>
          <w:tcPr>
            <w:tcW w:w="2340" w:type="dxa"/>
            <w:shd w:val="clear" w:color="auto" w:fill="1A365D"/>
            <w:tcMar>
              <w:top w:w="120" w:type="dxa"/>
              <w:left w:w="150" w:type="dxa"/>
              <w:bottom w:w="120" w:type="dxa"/>
              <w:right w:w="150" w:type="dxa"/>
            </w:tcMar>
          </w:tcPr>
          <w:p w14:paraId="7B7B530C">
            <w:pPr>
              <w:jc w:val="left"/>
            </w:pPr>
            <w:r>
              <w:rPr>
                <w:b/>
                <w:color w:val="FFFFFF"/>
                <w:sz w:val="20"/>
              </w:rPr>
              <w:t>Execution Role</w:t>
            </w:r>
          </w:p>
        </w:tc>
        <w:tc>
          <w:tcPr>
            <w:tcW w:w="2340" w:type="dxa"/>
            <w:shd w:val="clear" w:color="auto" w:fill="1A365D"/>
            <w:tcMar>
              <w:top w:w="120" w:type="dxa"/>
              <w:left w:w="150" w:type="dxa"/>
              <w:bottom w:w="120" w:type="dxa"/>
              <w:right w:w="150" w:type="dxa"/>
            </w:tcMar>
          </w:tcPr>
          <w:p w14:paraId="079E7DA8">
            <w:pPr>
              <w:jc w:val="left"/>
            </w:pPr>
            <w:r>
              <w:rPr>
                <w:b/>
                <w:color w:val="FFFFFF"/>
                <w:sz w:val="20"/>
              </w:rPr>
              <w:t>Output Artifact</w:t>
            </w:r>
          </w:p>
        </w:tc>
      </w:tr>
      <w:tr w14:paraId="15B1DD9D">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50" w:type="dxa"/>
              <w:bottom w:w="100" w:type="dxa"/>
              <w:right w:w="150" w:type="dxa"/>
            </w:tcMar>
          </w:tcPr>
          <w:p w14:paraId="63BBA429">
            <w:pPr>
              <w:jc w:val="left"/>
            </w:pPr>
            <w:r>
              <w:rPr>
                <w:b/>
                <w:color w:val="2B6CB0"/>
                <w:sz w:val="19"/>
              </w:rPr>
              <w:t>src/app.py</w:t>
            </w:r>
          </w:p>
        </w:tc>
        <w:tc>
          <w:tcPr>
            <w:tcW w:w="2340" w:type="dxa"/>
            <w:shd w:val="clear" w:color="auto" w:fill="FFFFFF"/>
            <w:tcMar>
              <w:top w:w="100" w:type="dxa"/>
              <w:left w:w="150" w:type="dxa"/>
              <w:bottom w:w="100" w:type="dxa"/>
              <w:right w:w="150" w:type="dxa"/>
            </w:tcMar>
          </w:tcPr>
          <w:p w14:paraId="6C858B61">
            <w:pPr>
              <w:jc w:val="left"/>
            </w:pPr>
            <w:r>
              <w:rPr>
                <w:sz w:val="19"/>
              </w:rPr>
              <w:t>Python 3.11+ / Streamlit Enterprise Runtime</w:t>
            </w:r>
          </w:p>
        </w:tc>
        <w:tc>
          <w:tcPr>
            <w:tcW w:w="2340" w:type="dxa"/>
            <w:shd w:val="clear" w:color="auto" w:fill="FFFFFF"/>
            <w:tcMar>
              <w:top w:w="100" w:type="dxa"/>
              <w:left w:w="150" w:type="dxa"/>
              <w:bottom w:w="100" w:type="dxa"/>
              <w:right w:w="150" w:type="dxa"/>
            </w:tcMar>
          </w:tcPr>
          <w:p w14:paraId="7C1D0969">
            <w:pPr>
              <w:jc w:val="left"/>
            </w:pPr>
            <w:r>
              <w:rPr>
                <w:sz w:val="19"/>
              </w:rPr>
              <w:t>Presentation layer, reactive user event handling, WebRTC streaming engine orchestration.</w:t>
            </w:r>
          </w:p>
        </w:tc>
        <w:tc>
          <w:tcPr>
            <w:tcW w:w="2340" w:type="dxa"/>
            <w:shd w:val="clear" w:color="auto" w:fill="FFFFFF"/>
            <w:tcMar>
              <w:top w:w="100" w:type="dxa"/>
              <w:left w:w="150" w:type="dxa"/>
              <w:bottom w:w="100" w:type="dxa"/>
              <w:right w:w="150" w:type="dxa"/>
            </w:tcMar>
          </w:tcPr>
          <w:p w14:paraId="50A215D8">
            <w:pPr>
              <w:jc w:val="left"/>
            </w:pPr>
            <w:r>
              <w:rPr>
                <w:sz w:val="19"/>
              </w:rPr>
              <w:t>Live Dynamic WebUI Session Layer</w:t>
            </w:r>
          </w:p>
        </w:tc>
      </w:tr>
      <w:tr w14:paraId="6A6EB57C">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2340" w:type="dxa"/>
            <w:shd w:val="clear" w:color="auto" w:fill="F7FAFC"/>
            <w:tcMar>
              <w:top w:w="100" w:type="dxa"/>
              <w:left w:w="150" w:type="dxa"/>
              <w:bottom w:w="100" w:type="dxa"/>
              <w:right w:w="150" w:type="dxa"/>
            </w:tcMar>
          </w:tcPr>
          <w:p w14:paraId="51F94BF5">
            <w:pPr>
              <w:jc w:val="left"/>
            </w:pPr>
            <w:r>
              <w:rPr>
                <w:b/>
                <w:color w:val="2B6CB0"/>
                <w:sz w:val="19"/>
              </w:rPr>
              <w:t>src/rag_worker.py</w:t>
            </w:r>
          </w:p>
        </w:tc>
        <w:tc>
          <w:tcPr>
            <w:tcW w:w="2340" w:type="dxa"/>
            <w:shd w:val="clear" w:color="auto" w:fill="F7FAFC"/>
            <w:tcMar>
              <w:top w:w="100" w:type="dxa"/>
              <w:left w:w="150" w:type="dxa"/>
              <w:bottom w:w="100" w:type="dxa"/>
              <w:right w:w="150" w:type="dxa"/>
            </w:tcMar>
          </w:tcPr>
          <w:p w14:paraId="3B59DEAF">
            <w:pPr>
              <w:jc w:val="left"/>
            </w:pPr>
            <w:r>
              <w:rPr>
                <w:sz w:val="19"/>
              </w:rPr>
              <w:t>Python 3.11+ Async / Redis Celery Worker Nodes</w:t>
            </w:r>
          </w:p>
        </w:tc>
        <w:tc>
          <w:tcPr>
            <w:tcW w:w="2340" w:type="dxa"/>
            <w:shd w:val="clear" w:color="auto" w:fill="F7FAFC"/>
            <w:tcMar>
              <w:top w:w="100" w:type="dxa"/>
              <w:left w:w="150" w:type="dxa"/>
              <w:bottom w:w="100" w:type="dxa"/>
              <w:right w:w="150" w:type="dxa"/>
            </w:tcMar>
          </w:tcPr>
          <w:p w14:paraId="120110B5">
            <w:pPr>
              <w:jc w:val="left"/>
            </w:pPr>
            <w:r>
              <w:rPr>
                <w:sz w:val="19"/>
              </w:rPr>
              <w:t>Asynchronous data pipeline. Handles chunking, vector embeddings, and local context caches.</w:t>
            </w:r>
          </w:p>
        </w:tc>
        <w:tc>
          <w:tcPr>
            <w:tcW w:w="2340" w:type="dxa"/>
            <w:shd w:val="clear" w:color="auto" w:fill="F7FAFC"/>
            <w:tcMar>
              <w:top w:w="100" w:type="dxa"/>
              <w:left w:w="150" w:type="dxa"/>
              <w:bottom w:w="100" w:type="dxa"/>
              <w:right w:w="150" w:type="dxa"/>
            </w:tcMar>
          </w:tcPr>
          <w:p w14:paraId="5859F52A">
            <w:pPr>
              <w:jc w:val="left"/>
            </w:pPr>
            <w:r>
              <w:rPr>
                <w:sz w:val="19"/>
              </w:rPr>
              <w:t>Vector Processing Daemon Thread</w:t>
            </w:r>
          </w:p>
        </w:tc>
      </w:tr>
      <w:tr w14:paraId="49896E20">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50" w:type="dxa"/>
              <w:bottom w:w="100" w:type="dxa"/>
              <w:right w:w="150" w:type="dxa"/>
            </w:tcMar>
          </w:tcPr>
          <w:p w14:paraId="691E1647">
            <w:pPr>
              <w:jc w:val="left"/>
            </w:pPr>
            <w:r>
              <w:rPr>
                <w:b/>
                <w:color w:val="2B6CB0"/>
                <w:sz w:val="19"/>
              </w:rPr>
              <w:t>schemas/response_contracts.py</w:t>
            </w:r>
          </w:p>
        </w:tc>
        <w:tc>
          <w:tcPr>
            <w:tcW w:w="2340" w:type="dxa"/>
            <w:shd w:val="clear" w:color="auto" w:fill="FFFFFF"/>
            <w:tcMar>
              <w:top w:w="100" w:type="dxa"/>
              <w:left w:w="150" w:type="dxa"/>
              <w:bottom w:w="100" w:type="dxa"/>
              <w:right w:w="150" w:type="dxa"/>
            </w:tcMar>
          </w:tcPr>
          <w:p w14:paraId="0D378A0B">
            <w:pPr>
              <w:jc w:val="left"/>
            </w:pPr>
            <w:r>
              <w:rPr>
                <w:sz w:val="19"/>
              </w:rPr>
              <w:t>Pydantic Validator / Google Gemini API Engine</w:t>
            </w:r>
          </w:p>
        </w:tc>
        <w:tc>
          <w:tcPr>
            <w:tcW w:w="2340" w:type="dxa"/>
            <w:shd w:val="clear" w:color="auto" w:fill="FFFFFF"/>
            <w:tcMar>
              <w:top w:w="100" w:type="dxa"/>
              <w:left w:w="150" w:type="dxa"/>
              <w:bottom w:w="100" w:type="dxa"/>
              <w:right w:w="150" w:type="dxa"/>
            </w:tcMar>
          </w:tcPr>
          <w:p w14:paraId="0138FD24">
            <w:pPr>
              <w:jc w:val="left"/>
            </w:pPr>
            <w:r>
              <w:rPr>
                <w:sz w:val="19"/>
              </w:rPr>
              <w:t>Structural payload protection. Implements responseSchema to completely eliminate structural drift.</w:t>
            </w:r>
          </w:p>
        </w:tc>
        <w:tc>
          <w:tcPr>
            <w:tcW w:w="2340" w:type="dxa"/>
            <w:shd w:val="clear" w:color="auto" w:fill="FFFFFF"/>
            <w:tcMar>
              <w:top w:w="100" w:type="dxa"/>
              <w:left w:w="150" w:type="dxa"/>
              <w:bottom w:w="100" w:type="dxa"/>
              <w:right w:w="150" w:type="dxa"/>
            </w:tcMar>
          </w:tcPr>
          <w:p w14:paraId="5092B496">
            <w:pPr>
              <w:jc w:val="left"/>
            </w:pPr>
            <w:r>
              <w:rPr>
                <w:sz w:val="19"/>
              </w:rPr>
              <w:t>Deterministic JSON Contracts</w:t>
            </w:r>
          </w:p>
        </w:tc>
      </w:tr>
      <w:tr w14:paraId="115FCE49">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2340" w:type="dxa"/>
            <w:shd w:val="clear" w:color="auto" w:fill="F7FAFC"/>
            <w:tcMar>
              <w:top w:w="100" w:type="dxa"/>
              <w:left w:w="150" w:type="dxa"/>
              <w:bottom w:w="100" w:type="dxa"/>
              <w:right w:w="150" w:type="dxa"/>
            </w:tcMar>
          </w:tcPr>
          <w:p w14:paraId="4D04E56D">
            <w:pPr>
              <w:jc w:val="left"/>
            </w:pPr>
            <w:r>
              <w:rPr>
                <w:b/>
                <w:color w:val="2B6CB0"/>
                <w:sz w:val="19"/>
              </w:rPr>
              <w:t>deploy/Dockerfile</w:t>
            </w:r>
          </w:p>
        </w:tc>
        <w:tc>
          <w:tcPr>
            <w:tcW w:w="2340" w:type="dxa"/>
            <w:shd w:val="clear" w:color="auto" w:fill="F7FAFC"/>
            <w:tcMar>
              <w:top w:w="100" w:type="dxa"/>
              <w:left w:w="150" w:type="dxa"/>
              <w:bottom w:w="100" w:type="dxa"/>
              <w:right w:w="150" w:type="dxa"/>
            </w:tcMar>
          </w:tcPr>
          <w:p w14:paraId="75A387D5">
            <w:pPr>
              <w:jc w:val="left"/>
            </w:pPr>
            <w:r>
              <w:rPr>
                <w:sz w:val="19"/>
              </w:rPr>
              <w:t>Docker Multi-stage Compiler Engine</w:t>
            </w:r>
          </w:p>
        </w:tc>
        <w:tc>
          <w:tcPr>
            <w:tcW w:w="2340" w:type="dxa"/>
            <w:shd w:val="clear" w:color="auto" w:fill="F7FAFC"/>
            <w:tcMar>
              <w:top w:w="100" w:type="dxa"/>
              <w:left w:w="150" w:type="dxa"/>
              <w:bottom w:w="100" w:type="dxa"/>
              <w:right w:w="150" w:type="dxa"/>
            </w:tcMar>
          </w:tcPr>
          <w:p w14:paraId="01269686">
            <w:pPr>
              <w:jc w:val="left"/>
            </w:pPr>
            <w:r>
              <w:rPr>
                <w:sz w:val="19"/>
              </w:rPr>
              <w:t>Compiles source components, strips debug utilities, and serializes minimal immutable layers.</w:t>
            </w:r>
          </w:p>
        </w:tc>
        <w:tc>
          <w:tcPr>
            <w:tcW w:w="2340" w:type="dxa"/>
            <w:shd w:val="clear" w:color="auto" w:fill="F7FAFC"/>
            <w:tcMar>
              <w:top w:w="100" w:type="dxa"/>
              <w:left w:w="150" w:type="dxa"/>
              <w:bottom w:w="100" w:type="dxa"/>
              <w:right w:w="150" w:type="dxa"/>
            </w:tcMar>
          </w:tcPr>
          <w:p w14:paraId="70A9C59E">
            <w:pPr>
              <w:jc w:val="left"/>
            </w:pPr>
            <w:r>
              <w:rPr>
                <w:sz w:val="19"/>
              </w:rPr>
              <w:t>edugenie-core:latest Linux Image</w:t>
            </w:r>
          </w:p>
        </w:tc>
      </w:tr>
      <w:tr w14:paraId="52A5ADE2">
        <w:tblPrEx>
          <w:tblBorders>
            <w:top w:val="single" w:color="CBD5E0" w:sz="6" w:space="0"/>
            <w:left w:val="none" w:color="auto" w:sz="0" w:space="0"/>
            <w:bottom w:val="single" w:color="CBD5E0" w:sz="6" w:space="0"/>
            <w:right w:val="none" w:color="auto" w:sz="0" w:space="0"/>
            <w:insideH w:val="single" w:color="CBD5E0" w:sz="6"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50" w:type="dxa"/>
              <w:bottom w:w="100" w:type="dxa"/>
              <w:right w:w="150" w:type="dxa"/>
            </w:tcMar>
          </w:tcPr>
          <w:p w14:paraId="24647A9E">
            <w:pPr>
              <w:jc w:val="left"/>
            </w:pPr>
            <w:r>
              <w:rPr>
                <w:b/>
                <w:color w:val="2B6CB0"/>
                <w:sz w:val="19"/>
              </w:rPr>
              <w:t>dist/edugenie-runtime</w:t>
            </w:r>
          </w:p>
        </w:tc>
        <w:tc>
          <w:tcPr>
            <w:tcW w:w="2340" w:type="dxa"/>
            <w:shd w:val="clear" w:color="auto" w:fill="FFFFFF"/>
            <w:tcMar>
              <w:top w:w="100" w:type="dxa"/>
              <w:left w:w="150" w:type="dxa"/>
              <w:bottom w:w="100" w:type="dxa"/>
              <w:right w:w="150" w:type="dxa"/>
            </w:tcMar>
          </w:tcPr>
          <w:p w14:paraId="331CCA58">
            <w:pPr>
              <w:jc w:val="left"/>
            </w:pPr>
            <w:r>
              <w:rPr>
                <w:sz w:val="19"/>
              </w:rPr>
              <w:t>PyInstaller Native ELF Binary Compiler</w:t>
            </w:r>
          </w:p>
        </w:tc>
        <w:tc>
          <w:tcPr>
            <w:tcW w:w="2340" w:type="dxa"/>
            <w:shd w:val="clear" w:color="auto" w:fill="FFFFFF"/>
            <w:tcMar>
              <w:top w:w="100" w:type="dxa"/>
              <w:left w:w="150" w:type="dxa"/>
              <w:bottom w:w="100" w:type="dxa"/>
              <w:right w:w="150" w:type="dxa"/>
            </w:tcMar>
          </w:tcPr>
          <w:p w14:paraId="19960F11">
            <w:pPr>
              <w:jc w:val="left"/>
            </w:pPr>
            <w:r>
              <w:rPr>
                <w:sz w:val="19"/>
              </w:rPr>
              <w:t>Native stand-alone executable built for secure local networks and localized test fixtures.</w:t>
            </w:r>
          </w:p>
        </w:tc>
        <w:tc>
          <w:tcPr>
            <w:tcW w:w="2340" w:type="dxa"/>
            <w:shd w:val="clear" w:color="auto" w:fill="FFFFFF"/>
            <w:tcMar>
              <w:top w:w="100" w:type="dxa"/>
              <w:left w:w="150" w:type="dxa"/>
              <w:bottom w:w="100" w:type="dxa"/>
              <w:right w:w="150" w:type="dxa"/>
            </w:tcMar>
          </w:tcPr>
          <w:p w14:paraId="76EFD8C4">
            <w:pPr>
              <w:jc w:val="left"/>
            </w:pPr>
            <w:r>
              <w:rPr>
                <w:sz w:val="19"/>
              </w:rPr>
              <w:t>Monolithic Standalone Binary Artifact</w:t>
            </w:r>
          </w:p>
        </w:tc>
      </w:tr>
    </w:tbl>
    <w:p w14:paraId="2BCB4A73">
      <w:pPr>
        <w:keepNext/>
        <w:pBdr>
          <w:bottom w:val="single" w:color="2B6CB0" w:sz="6" w:space="4"/>
        </w:pBdr>
        <w:spacing w:before="360" w:after="120"/>
      </w:pPr>
      <w:r>
        <w:rPr>
          <w:rFonts w:ascii="Arial" w:hAnsi="Arial"/>
          <w:b/>
          <w:color w:val="1A365D"/>
          <w:sz w:val="32"/>
        </w:rPr>
        <w:t>4. Runtime Lifecycle &amp; Compilation Pipelines</w:t>
      </w:r>
    </w:p>
    <w:p w14:paraId="7C677212">
      <w:r>
        <w:t>Artifact generation follows a deterministic compilation sequence to avoid operational drift between testing and deployment infrastructure:</w:t>
      </w:r>
    </w:p>
    <w:p w14:paraId="3B2B78A9">
      <w:pPr>
        <w:pStyle w:val="23"/>
        <w:spacing w:after="80"/>
      </w:pPr>
      <w:r>
        <w:rPr>
          <w:b/>
          <w:color w:val="2D3748"/>
        </w:rPr>
        <w:t xml:space="preserve">Phase 1: Code Verification &amp; Contract Audit: </w:t>
      </w:r>
      <w:r>
        <w:t>Continuous integration systems evaluate Python dependencies against schemas/response_contracts.py. Any syntax or structure mismatches with the Gemini API schema definition drop the build instantly.</w:t>
      </w:r>
    </w:p>
    <w:p w14:paraId="1EB978FD">
      <w:pPr>
        <w:pStyle w:val="23"/>
        <w:spacing w:after="80"/>
      </w:pPr>
      <w:r>
        <w:rPr>
          <w:b/>
          <w:color w:val="2D3748"/>
        </w:rPr>
        <w:t xml:space="preserve">Phase 2: Asynchronous Dependency Resolution: </w:t>
      </w:r>
      <w:r>
        <w:t>The package manager builds optimized lockfiles. Unused testing utilities are isolated from core processing components like rag_worker.py.</w:t>
      </w:r>
    </w:p>
    <w:p w14:paraId="5CC0E6F7">
      <w:pPr>
        <w:pStyle w:val="23"/>
        <w:spacing w:after="80"/>
      </w:pPr>
      <w:r>
        <w:rPr>
          <w:b/>
          <w:color w:val="2D3748"/>
        </w:rPr>
        <w:t xml:space="preserve">Phase 3: Multi-Stage Image Layer Assembly: </w:t>
      </w:r>
      <w:r>
        <w:t>The compiler loads deploy/Dockerfile, downloads alpine baselines, copies production artifacts, and optimizes image sizing for reduced latency deployments.</w:t>
      </w:r>
    </w:p>
    <w:p w14:paraId="39521763">
      <w:pPr>
        <w:pStyle w:val="23"/>
        <w:spacing w:after="80"/>
      </w:pPr>
      <w:r>
        <w:rPr>
          <w:b/>
          <w:color w:val="2D3748"/>
        </w:rPr>
        <w:t xml:space="preserve">Phase 4: Standalone Binary Compiling: </w:t>
      </w:r>
      <w:r>
        <w:t>PyInstaller groups core modules, embedded prompt profiles, and static requirements into an immutable standalone binary layout within dist/edugenie-runtime.</w:t>
      </w:r>
    </w:p>
    <w:p w14:paraId="270F6765">
      <w:pPr>
        <w:keepNext/>
        <w:pBdr>
          <w:bottom w:val="single" w:color="2B6CB0" w:sz="6" w:space="4"/>
        </w:pBdr>
        <w:spacing w:before="360" w:after="120"/>
      </w:pPr>
      <w:r>
        <w:rPr>
          <w:rFonts w:ascii="Arial" w:hAnsi="Arial"/>
          <w:b/>
          <w:color w:val="1A365D"/>
          <w:sz w:val="32"/>
        </w:rPr>
        <w:t>5. Configuration, Environment, and Security Framework</w:t>
      </w:r>
    </w:p>
    <w:p w14:paraId="4683D229">
      <w:r>
        <w:t>Edugenie isolates secrets from application codebases following Twelve-Factor App engineering guidelines. System secrets, authorization credentials, and model paths are injected exclusively via secure environmental hooks during runtime container execution.</w:t>
      </w:r>
    </w:p>
    <w:p w14:paraId="6CB76A1D">
      <w:r>
        <w:t>An example configuration footprint for development structures is shown below:</w:t>
      </w:r>
    </w:p>
    <w:tbl>
      <w:tblPr>
        <w:tblStyle w:val="12"/>
        <w:tblW w:w="0" w:type="auto"/>
        <w:jc w:val="center"/>
        <w:tblLayout w:type="autofit"/>
        <w:tblCellMar>
          <w:top w:w="0" w:type="dxa"/>
          <w:left w:w="108" w:type="dxa"/>
          <w:bottom w:w="0" w:type="dxa"/>
          <w:right w:w="108" w:type="dxa"/>
        </w:tblCellMar>
      </w:tblPr>
      <w:tblGrid>
        <w:gridCol w:w="9360"/>
      </w:tblGrid>
      <w:tr w14:paraId="570A225D">
        <w:tblPrEx>
          <w:tblCellMar>
            <w:top w:w="0" w:type="dxa"/>
            <w:left w:w="108" w:type="dxa"/>
            <w:bottom w:w="0" w:type="dxa"/>
            <w:right w:w="108" w:type="dxa"/>
          </w:tblCellMar>
        </w:tblPrEx>
        <w:trPr>
          <w:jc w:val="center"/>
        </w:trPr>
        <w:tc>
          <w:tcPr>
            <w:tcW w:w="9360" w:type="dxa"/>
            <w:tcBorders>
              <w:top w:val="nil"/>
              <w:left w:val="single" w:color="1A365D" w:sz="36" w:space="0"/>
              <w:bottom w:val="nil"/>
              <w:right w:val="nil"/>
            </w:tcBorders>
            <w:shd w:val="clear" w:color="auto" w:fill="2D3748"/>
            <w:tcMar>
              <w:top w:w="140" w:type="dxa"/>
              <w:left w:w="180" w:type="dxa"/>
              <w:bottom w:w="140" w:type="dxa"/>
              <w:right w:w="180" w:type="dxa"/>
            </w:tcMar>
          </w:tcPr>
          <w:p w14:paraId="1299D412">
            <w:pPr>
              <w:spacing w:before="0" w:after="0" w:line="276" w:lineRule="auto"/>
            </w:pPr>
            <w:r>
              <w:rPr>
                <w:rFonts w:ascii="Consolas" w:hAnsi="Consolas"/>
                <w:color w:val="E2E8F0"/>
                <w:sz w:val="19"/>
              </w:rPr>
              <w:t># --- Edugenie Environment Configuration Blueprint (.env.example) ---</w:t>
            </w:r>
            <w:r>
              <w:rPr>
                <w:rFonts w:ascii="Consolas" w:hAnsi="Consolas"/>
                <w:color w:val="E2E8F0"/>
                <w:sz w:val="19"/>
              </w:rPr>
              <w:br w:type="textWrapping"/>
            </w:r>
            <w:r>
              <w:rPr>
                <w:rFonts w:ascii="Consolas" w:hAnsi="Consolas"/>
                <w:color w:val="E2E8F0"/>
                <w:sz w:val="19"/>
              </w:rPr>
              <w:t>GEMINI_API_KEY=AIzaSyA_ExampleSecureKeyHere_2026</w:t>
            </w:r>
            <w:r>
              <w:rPr>
                <w:rFonts w:ascii="Consolas" w:hAnsi="Consolas"/>
                <w:color w:val="E2E8F0"/>
                <w:sz w:val="19"/>
              </w:rPr>
              <w:br w:type="textWrapping"/>
            </w:r>
            <w:r>
              <w:rPr>
                <w:rFonts w:ascii="Consolas" w:hAnsi="Consolas"/>
                <w:color w:val="E2E8F0"/>
                <w:sz w:val="19"/>
              </w:rPr>
              <w:t>GEMINI_MODEL_TARGET=gemini-1.5-pro</w:t>
            </w:r>
            <w:r>
              <w:rPr>
                <w:rFonts w:ascii="Consolas" w:hAnsi="Consolas"/>
                <w:color w:val="E2E8F0"/>
                <w:sz w:val="19"/>
              </w:rPr>
              <w:br w:type="textWrapping"/>
            </w:r>
            <w:r>
              <w:rPr>
                <w:rFonts w:ascii="Consolas" w:hAnsi="Consolas"/>
                <w:color w:val="E2E8F0"/>
                <w:sz w:val="19"/>
              </w:rPr>
              <w:t>REDIS_BROKER_URL=redis://auth-redis-cluster.internal:6379/0</w:t>
            </w:r>
            <w:r>
              <w:rPr>
                <w:rFonts w:ascii="Consolas" w:hAnsi="Consolas"/>
                <w:color w:val="E2E8F0"/>
                <w:sz w:val="19"/>
              </w:rPr>
              <w:br w:type="textWrapping"/>
            </w:r>
            <w:r>
              <w:rPr>
                <w:rFonts w:ascii="Consolas" w:hAnsi="Consolas"/>
                <w:color w:val="E2E8F0"/>
                <w:sz w:val="19"/>
              </w:rPr>
              <w:t>PINECONE_VECTOR_KEY=pc_key_prod_learning_embeddings_vector</w:t>
            </w:r>
            <w:r>
              <w:rPr>
                <w:rFonts w:ascii="Consolas" w:hAnsi="Consolas"/>
                <w:color w:val="E2E8F0"/>
                <w:sz w:val="19"/>
              </w:rPr>
              <w:br w:type="textWrapping"/>
            </w:r>
            <w:r>
              <w:rPr>
                <w:rFonts w:ascii="Consolas" w:hAnsi="Consolas"/>
                <w:color w:val="E2E8F0"/>
                <w:sz w:val="19"/>
              </w:rPr>
              <w:t>FIREBASE_PROJECT_ID=edugenie-core-learning-framework</w:t>
            </w:r>
            <w:r>
              <w:rPr>
                <w:rFonts w:ascii="Consolas" w:hAnsi="Consolas"/>
                <w:color w:val="E2E8F0"/>
                <w:sz w:val="19"/>
              </w:rPr>
              <w:br w:type="textWrapping"/>
            </w:r>
            <w:r>
              <w:rPr>
                <w:rFonts w:ascii="Consolas" w:hAnsi="Consolas"/>
                <w:color w:val="E2E8F0"/>
                <w:sz w:val="19"/>
              </w:rPr>
              <w:t>APP_EXECUTION_MODE=PRODUCTION</w:t>
            </w:r>
          </w:p>
        </w:tc>
      </w:tr>
    </w:tbl>
    <w:p w14:paraId="0E74A08C"/>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3E4D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Arial" w:hAnsi="Arial" w:eastAsiaTheme="minorEastAsia" w:cstheme="minorBidi"/>
      <w:color w:val="2B2B2B"/>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527</Words>
  <Characters>4244</Characters>
  <Lines>0</Lines>
  <Paragraphs>0</Paragraphs>
  <TotalTime>0</TotalTime>
  <ScaleCrop>false</ScaleCrop>
  <LinksUpToDate>false</LinksUpToDate>
  <CharactersWithSpaces>4718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2026-09-29T14:45:16Z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66E1B53C72824BC3A30C4B1373C7A864_13</vt:lpwstr>
  </property>
</Properties>
</file>