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0F5D93">
      <w:pPr>
        <w:spacing w:before="480" w:after="80"/>
        <w:jc w:val="left"/>
      </w:pPr>
      <w:bookmarkStart w:id="0" w:name="_GoBack"/>
      <w:bookmarkEnd w:id="0"/>
      <w:r>
        <w:rPr>
          <w:b/>
          <w:color w:val="003366"/>
          <w:sz w:val="48"/>
        </w:rPr>
        <w:t>EDUGENIE: LEARNING ASSISTANT SYSTEM</w:t>
      </w:r>
    </w:p>
    <w:p w14:paraId="19D86E58">
      <w:pPr>
        <w:spacing w:after="480"/>
      </w:pPr>
      <w:r>
        <w:rPr>
          <w:color w:val="4682B4"/>
          <w:sz w:val="28"/>
        </w:rPr>
        <w:t>Project Design Phase: Comprehensive Sample Technical Documentation</w:t>
      </w:r>
    </w:p>
    <w:p w14:paraId="53167FC5">
      <w:pPr>
        <w:spacing w:after="480"/>
      </w:pPr>
      <w:r>
        <w:t>Document Version: 1.0.0-PROTOTYPE</w:t>
      </w:r>
      <w:r>
        <w:br w:type="textWrapping"/>
      </w:r>
      <w:r>
        <w:t>Status: APPROVED SAMPLE</w:t>
      </w:r>
      <w:r>
        <w:br w:type="textWrapping"/>
      </w:r>
      <w:r>
        <w:t>Target Audience: Core Engineers, Integrators, and Quality Assurance Specialists</w:t>
      </w:r>
    </w:p>
    <w:p w14:paraId="3BD9FD22">
      <w:pPr>
        <w:pStyle w:val="2"/>
        <w:keepNext/>
        <w:spacing w:before="360" w:after="160"/>
      </w:pPr>
      <w:r>
        <w:rPr>
          <w:rFonts w:ascii="Arial" w:hAnsi="Arial"/>
          <w:b/>
          <w:color w:val="003366"/>
          <w:sz w:val="36"/>
        </w:rPr>
        <w:t>1. Document Purpose &amp; Operational Intent</w:t>
      </w:r>
    </w:p>
    <w:p w14:paraId="48E345B6">
      <w:r>
        <w:t xml:space="preserve">This document provides a highly detailed, concrete, and operational </w:t>
      </w:r>
      <w:r>
        <w:rPr>
          <w:b/>
        </w:rPr>
        <w:t>Sample Project Documentation Blueprint</w:t>
      </w:r>
      <w:r>
        <w:t xml:space="preserve"> tailored explicitly for the implementation teams of Edugenie. It models exactly how production engineers, prompt authors, and data administrators interact with the platform infrastructure, defining literal payload models, orchestration sequences, and edge-case exceptions.</w:t>
      </w:r>
    </w:p>
    <w:tbl>
      <w:tblPr>
        <w:tblStyle w:val="12"/>
        <w:tblW w:w="0" w:type="auto"/>
        <w:jc w:val="center"/>
        <w:tblLayout w:type="fixed"/>
        <w:tblCellMar>
          <w:top w:w="0" w:type="dxa"/>
          <w:left w:w="108" w:type="dxa"/>
          <w:bottom w:w="0" w:type="dxa"/>
          <w:right w:w="108" w:type="dxa"/>
        </w:tblCellMar>
      </w:tblPr>
      <w:tblGrid>
        <w:gridCol w:w="9360"/>
      </w:tblGrid>
      <w:tr w14:paraId="42546140">
        <w:tblPrEx>
          <w:tblCellMar>
            <w:top w:w="0" w:type="dxa"/>
            <w:left w:w="108" w:type="dxa"/>
            <w:bottom w:w="0" w:type="dxa"/>
            <w:right w:w="108" w:type="dxa"/>
          </w:tblCellMar>
        </w:tblPrEx>
        <w:trPr>
          <w:jc w:val="center"/>
        </w:trPr>
        <w:tc>
          <w:tcPr>
            <w:tcW w:w="9360" w:type="dxa"/>
            <w:tcBorders>
              <w:top w:val="nil"/>
              <w:left w:val="single" w:color="003366" w:sz="36" w:space="0"/>
              <w:bottom w:val="nil"/>
              <w:right w:val="nil"/>
            </w:tcBorders>
            <w:shd w:val="clear" w:color="auto" w:fill="F4F6F9"/>
            <w:tcMar>
              <w:top w:w="140" w:type="dxa"/>
              <w:left w:w="200" w:type="dxa"/>
              <w:bottom w:w="140" w:type="dxa"/>
              <w:right w:w="150" w:type="dxa"/>
            </w:tcMar>
          </w:tcPr>
          <w:p w14:paraId="61944617">
            <w:pPr>
              <w:spacing w:before="0" w:after="0"/>
            </w:pPr>
            <w:r>
              <w:rPr>
                <w:i/>
                <w:color w:val="333333"/>
                <w:sz w:val="21"/>
              </w:rPr>
              <w:t>Implementation Notice: This reference template contains mock data structures, concrete system configurations, and exact runtime execution loops. Engineers are required to map their local execution environment variables directly against these strict patterns.</w:t>
            </w:r>
          </w:p>
        </w:tc>
      </w:tr>
    </w:tbl>
    <w:p w14:paraId="310E6448">
      <w:pPr>
        <w:spacing w:before="0" w:after="120"/>
      </w:pPr>
    </w:p>
    <w:p w14:paraId="27D830A6">
      <w:pPr>
        <w:pStyle w:val="2"/>
        <w:keepNext/>
        <w:spacing w:before="360" w:after="160"/>
      </w:pPr>
      <w:r>
        <w:rPr>
          <w:rFonts w:ascii="Arial" w:hAnsi="Arial"/>
          <w:b/>
          <w:color w:val="003366"/>
          <w:sz w:val="36"/>
        </w:rPr>
        <w:t>2. Core Multi-Modal Ingestion Loop</w:t>
      </w:r>
    </w:p>
    <w:p w14:paraId="44D4ABDC">
      <w:r>
        <w:t>Edugenie features native multi-modal digestion, feeding documents, images, and lecture recordings into the Gemini 1.5 Pro processing core. Below is an exact documentation map modeling a live file-ingestion transaction.</w:t>
      </w:r>
    </w:p>
    <w:p w14:paraId="3FD25963">
      <w:pPr>
        <w:pStyle w:val="3"/>
        <w:keepNext/>
        <w:spacing w:before="240" w:after="120"/>
      </w:pPr>
      <w:r>
        <w:rPr>
          <w:rFonts w:ascii="Arial" w:hAnsi="Arial"/>
          <w:b/>
          <w:color w:val="4682B4"/>
          <w:sz w:val="28"/>
        </w:rPr>
        <w:t>2.1 Technical Ingestion Sequence &amp; Payload Models</w:t>
      </w:r>
    </w:p>
    <w:p w14:paraId="640DE19B">
      <w:r>
        <w:t>The orchestration tier handles ingestion via a multi-stage chunking and routing sequence. The target payload format requires explicit separation of contextual data, token counts, and structural metadata hooks.</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341421E1">
        <w:tblPrEx>
          <w:tblCellMar>
            <w:top w:w="0" w:type="dxa"/>
            <w:left w:w="108" w:type="dxa"/>
            <w:bottom w:w="0" w:type="dxa"/>
            <w:right w:w="108" w:type="dxa"/>
          </w:tblCellMar>
        </w:tblPrEx>
        <w:trPr>
          <w:jc w:val="center"/>
        </w:trPr>
        <w:tc>
          <w:tcPr>
            <w:tcW w:w="1728" w:type="dxa"/>
            <w:shd w:val="clear" w:color="auto" w:fill="003366"/>
            <w:tcMar>
              <w:top w:w="140" w:type="dxa"/>
              <w:left w:w="150" w:type="dxa"/>
              <w:bottom w:w="140" w:type="dxa"/>
              <w:right w:w="150" w:type="dxa"/>
            </w:tcMar>
          </w:tcPr>
          <w:p w14:paraId="78F7ADF8">
            <w:r>
              <w:rPr>
                <w:b/>
                <w:color w:val="FFFFFF"/>
                <w:sz w:val="20"/>
              </w:rPr>
              <w:t>Field Name</w:t>
            </w:r>
          </w:p>
        </w:tc>
        <w:tc>
          <w:tcPr>
            <w:tcW w:w="1440" w:type="dxa"/>
            <w:shd w:val="clear" w:color="auto" w:fill="003366"/>
            <w:tcMar>
              <w:top w:w="140" w:type="dxa"/>
              <w:left w:w="150" w:type="dxa"/>
              <w:bottom w:w="140" w:type="dxa"/>
              <w:right w:w="150" w:type="dxa"/>
            </w:tcMar>
          </w:tcPr>
          <w:p w14:paraId="5EA611BC">
            <w:r>
              <w:rPr>
                <w:b/>
                <w:color w:val="FFFFFF"/>
                <w:sz w:val="20"/>
              </w:rPr>
              <w:t>Data Type</w:t>
            </w:r>
          </w:p>
        </w:tc>
        <w:tc>
          <w:tcPr>
            <w:tcW w:w="2160" w:type="dxa"/>
            <w:shd w:val="clear" w:color="auto" w:fill="003366"/>
            <w:tcMar>
              <w:top w:w="140" w:type="dxa"/>
              <w:left w:w="150" w:type="dxa"/>
              <w:bottom w:w="140" w:type="dxa"/>
              <w:right w:w="150" w:type="dxa"/>
            </w:tcMar>
          </w:tcPr>
          <w:p w14:paraId="5B240362">
            <w:r>
              <w:rPr>
                <w:b/>
                <w:color w:val="FFFFFF"/>
                <w:sz w:val="20"/>
              </w:rPr>
              <w:t>Validation Constraint</w:t>
            </w:r>
          </w:p>
        </w:tc>
        <w:tc>
          <w:tcPr>
            <w:tcW w:w="4032" w:type="dxa"/>
            <w:shd w:val="clear" w:color="auto" w:fill="003366"/>
            <w:tcMar>
              <w:top w:w="140" w:type="dxa"/>
              <w:left w:w="150" w:type="dxa"/>
              <w:bottom w:w="140" w:type="dxa"/>
              <w:right w:w="150" w:type="dxa"/>
            </w:tcMar>
          </w:tcPr>
          <w:p w14:paraId="488727D2">
            <w:r>
              <w:rPr>
                <w:b/>
                <w:color w:val="FFFFFF"/>
                <w:sz w:val="20"/>
              </w:rPr>
              <w:t>Architectural Role / Functional Purpose</w:t>
            </w:r>
          </w:p>
        </w:tc>
      </w:tr>
      <w:tr w14:paraId="72541990">
        <w:tblPrEx>
          <w:tblCellMar>
            <w:top w:w="0" w:type="dxa"/>
            <w:left w:w="108" w:type="dxa"/>
            <w:bottom w:w="0" w:type="dxa"/>
            <w:right w:w="108" w:type="dxa"/>
          </w:tblCellMar>
        </w:tblPrEx>
        <w:trPr>
          <w:jc w:val="center"/>
        </w:trPr>
        <w:tc>
          <w:tcPr>
            <w:tcW w:w="1728" w:type="dxa"/>
            <w:tcMar>
              <w:top w:w="120" w:type="dxa"/>
              <w:left w:w="150" w:type="dxa"/>
              <w:bottom w:w="120" w:type="dxa"/>
              <w:right w:w="150" w:type="dxa"/>
            </w:tcMar>
          </w:tcPr>
          <w:p w14:paraId="0C8D31B0">
            <w:r>
              <w:rPr>
                <w:sz w:val="19"/>
              </w:rPr>
              <w:t>document_id</w:t>
            </w:r>
          </w:p>
        </w:tc>
        <w:tc>
          <w:tcPr>
            <w:tcW w:w="1440" w:type="dxa"/>
            <w:tcMar>
              <w:top w:w="120" w:type="dxa"/>
              <w:left w:w="150" w:type="dxa"/>
              <w:bottom w:w="120" w:type="dxa"/>
              <w:right w:w="150" w:type="dxa"/>
            </w:tcMar>
          </w:tcPr>
          <w:p w14:paraId="301D5050">
            <w:r>
              <w:rPr>
                <w:sz w:val="19"/>
              </w:rPr>
              <w:t>String (UUID)</w:t>
            </w:r>
          </w:p>
        </w:tc>
        <w:tc>
          <w:tcPr>
            <w:tcW w:w="2160" w:type="dxa"/>
            <w:tcMar>
              <w:top w:w="120" w:type="dxa"/>
              <w:left w:w="150" w:type="dxa"/>
              <w:bottom w:w="120" w:type="dxa"/>
              <w:right w:w="150" w:type="dxa"/>
            </w:tcMar>
          </w:tcPr>
          <w:p w14:paraId="05FC1065">
            <w:r>
              <w:rPr>
                <w:sz w:val="19"/>
              </w:rPr>
              <w:t>Non-null, regex-verified</w:t>
            </w:r>
          </w:p>
        </w:tc>
        <w:tc>
          <w:tcPr>
            <w:tcW w:w="4032" w:type="dxa"/>
            <w:tcMar>
              <w:top w:w="120" w:type="dxa"/>
              <w:left w:w="150" w:type="dxa"/>
              <w:bottom w:w="120" w:type="dxa"/>
              <w:right w:w="150" w:type="dxa"/>
            </w:tcMar>
          </w:tcPr>
          <w:p w14:paraId="4764F62B">
            <w:r>
              <w:rPr>
                <w:sz w:val="19"/>
              </w:rPr>
              <w:t>Global system unique identifier for the ingested artifact.</w:t>
            </w:r>
          </w:p>
        </w:tc>
      </w:tr>
      <w:tr w14:paraId="21E6BDED">
        <w:tblPrEx>
          <w:tblCellMar>
            <w:top w:w="0" w:type="dxa"/>
            <w:left w:w="108" w:type="dxa"/>
            <w:bottom w:w="0" w:type="dxa"/>
            <w:right w:w="108" w:type="dxa"/>
          </w:tblCellMar>
        </w:tblPrEx>
        <w:trPr>
          <w:jc w:val="center"/>
        </w:trPr>
        <w:tc>
          <w:tcPr>
            <w:tcW w:w="1728" w:type="dxa"/>
            <w:shd w:val="clear" w:color="auto" w:fill="F4F6F9"/>
            <w:tcMar>
              <w:top w:w="120" w:type="dxa"/>
              <w:left w:w="150" w:type="dxa"/>
              <w:bottom w:w="120" w:type="dxa"/>
              <w:right w:w="150" w:type="dxa"/>
            </w:tcMar>
          </w:tcPr>
          <w:p w14:paraId="1876CD78">
            <w:r>
              <w:rPr>
                <w:sz w:val="19"/>
              </w:rPr>
              <w:t>payload_type</w:t>
            </w:r>
          </w:p>
        </w:tc>
        <w:tc>
          <w:tcPr>
            <w:tcW w:w="1440" w:type="dxa"/>
            <w:shd w:val="clear" w:color="auto" w:fill="F4F6F9"/>
            <w:tcMar>
              <w:top w:w="120" w:type="dxa"/>
              <w:left w:w="150" w:type="dxa"/>
              <w:bottom w:w="120" w:type="dxa"/>
              <w:right w:w="150" w:type="dxa"/>
            </w:tcMar>
          </w:tcPr>
          <w:p w14:paraId="2AE9CB89">
            <w:r>
              <w:rPr>
                <w:sz w:val="19"/>
              </w:rPr>
              <w:t>String (Enum)</w:t>
            </w:r>
          </w:p>
        </w:tc>
        <w:tc>
          <w:tcPr>
            <w:tcW w:w="2160" w:type="dxa"/>
            <w:shd w:val="clear" w:color="auto" w:fill="F4F6F9"/>
            <w:tcMar>
              <w:top w:w="120" w:type="dxa"/>
              <w:left w:w="150" w:type="dxa"/>
              <w:bottom w:w="120" w:type="dxa"/>
              <w:right w:w="150" w:type="dxa"/>
            </w:tcMar>
          </w:tcPr>
          <w:p w14:paraId="7FA86D12">
            <w:r>
              <w:rPr>
                <w:sz w:val="19"/>
              </w:rPr>
              <w:t>['TEXT', 'AUDIO', 'MULTI']</w:t>
            </w:r>
          </w:p>
        </w:tc>
        <w:tc>
          <w:tcPr>
            <w:tcW w:w="4032" w:type="dxa"/>
            <w:shd w:val="clear" w:color="auto" w:fill="F4F6F9"/>
            <w:tcMar>
              <w:top w:w="120" w:type="dxa"/>
              <w:left w:w="150" w:type="dxa"/>
              <w:bottom w:w="120" w:type="dxa"/>
              <w:right w:w="150" w:type="dxa"/>
            </w:tcMar>
          </w:tcPr>
          <w:p w14:paraId="120AFE40">
            <w:r>
              <w:rPr>
                <w:sz w:val="19"/>
              </w:rPr>
              <w:t>Determines whether execution defaults to Gemini Flash or Gemini Pro optimization tracks.</w:t>
            </w:r>
          </w:p>
        </w:tc>
      </w:tr>
      <w:tr w14:paraId="5E1C052E">
        <w:tblPrEx>
          <w:tblCellMar>
            <w:top w:w="0" w:type="dxa"/>
            <w:left w:w="108" w:type="dxa"/>
            <w:bottom w:w="0" w:type="dxa"/>
            <w:right w:w="108" w:type="dxa"/>
          </w:tblCellMar>
        </w:tblPrEx>
        <w:trPr>
          <w:jc w:val="center"/>
        </w:trPr>
        <w:tc>
          <w:tcPr>
            <w:tcW w:w="1728" w:type="dxa"/>
            <w:tcMar>
              <w:top w:w="120" w:type="dxa"/>
              <w:left w:w="150" w:type="dxa"/>
              <w:bottom w:w="120" w:type="dxa"/>
              <w:right w:w="150" w:type="dxa"/>
            </w:tcMar>
          </w:tcPr>
          <w:p w14:paraId="2C792563">
            <w:r>
              <w:rPr>
                <w:sz w:val="19"/>
              </w:rPr>
              <w:t>token_override</w:t>
            </w:r>
          </w:p>
        </w:tc>
        <w:tc>
          <w:tcPr>
            <w:tcW w:w="1440" w:type="dxa"/>
            <w:tcMar>
              <w:top w:w="120" w:type="dxa"/>
              <w:left w:w="150" w:type="dxa"/>
              <w:bottom w:w="120" w:type="dxa"/>
              <w:right w:w="150" w:type="dxa"/>
            </w:tcMar>
          </w:tcPr>
          <w:p w14:paraId="55658345">
            <w:r>
              <w:rPr>
                <w:sz w:val="19"/>
              </w:rPr>
              <w:t>Integer</w:t>
            </w:r>
          </w:p>
        </w:tc>
        <w:tc>
          <w:tcPr>
            <w:tcW w:w="2160" w:type="dxa"/>
            <w:tcMar>
              <w:top w:w="120" w:type="dxa"/>
              <w:left w:w="150" w:type="dxa"/>
              <w:bottom w:w="120" w:type="dxa"/>
              <w:right w:w="150" w:type="dxa"/>
            </w:tcMar>
          </w:tcPr>
          <w:p w14:paraId="31D46B93">
            <w:r>
              <w:rPr>
                <w:sz w:val="19"/>
              </w:rPr>
              <w:t>Min: 1, Max: 2,048,000</w:t>
            </w:r>
          </w:p>
        </w:tc>
        <w:tc>
          <w:tcPr>
            <w:tcW w:w="4032" w:type="dxa"/>
            <w:tcMar>
              <w:top w:w="120" w:type="dxa"/>
              <w:left w:w="150" w:type="dxa"/>
              <w:bottom w:w="120" w:type="dxa"/>
              <w:right w:w="150" w:type="dxa"/>
            </w:tcMar>
          </w:tcPr>
          <w:p w14:paraId="160FFE0B">
            <w:r>
              <w:rPr>
                <w:sz w:val="19"/>
              </w:rPr>
              <w:t>Hard cap forcing payload splitting to protect context budget limits dynamically.</w:t>
            </w:r>
          </w:p>
        </w:tc>
      </w:tr>
    </w:tbl>
    <w:p w14:paraId="1128A022">
      <w:pPr>
        <w:spacing w:after="120"/>
      </w:pPr>
    </w:p>
    <w:p w14:paraId="2B7F94FF">
      <w:pPr>
        <w:pStyle w:val="3"/>
        <w:keepNext/>
        <w:spacing w:before="240" w:after="120"/>
      </w:pPr>
      <w:r>
        <w:rPr>
          <w:rFonts w:ascii="Arial" w:hAnsi="Arial"/>
          <w:b/>
          <w:color w:val="4682B4"/>
          <w:sz w:val="28"/>
        </w:rPr>
        <w:t>2.2 Sample Raw JSON Ingestion Payload</w:t>
      </w:r>
    </w:p>
    <w:p w14:paraId="6B76FA66">
      <w:r>
        <w:t>The following JSON payload illustrates the structure submitted to the ingestion service endpoint:</w:t>
      </w:r>
    </w:p>
    <w:tbl>
      <w:tblPr>
        <w:tblStyle w:val="12"/>
        <w:tblW w:w="0" w:type="auto"/>
        <w:jc w:val="center"/>
        <w:tblLayout w:type="fixed"/>
        <w:tblCellMar>
          <w:top w:w="0" w:type="dxa"/>
          <w:left w:w="108" w:type="dxa"/>
          <w:bottom w:w="0" w:type="dxa"/>
          <w:right w:w="108" w:type="dxa"/>
        </w:tblCellMar>
      </w:tblPr>
      <w:tblGrid>
        <w:gridCol w:w="9360"/>
      </w:tblGrid>
      <w:tr w14:paraId="1524D5CF">
        <w:tblPrEx>
          <w:tblCellMar>
            <w:top w:w="0" w:type="dxa"/>
            <w:left w:w="108" w:type="dxa"/>
            <w:bottom w:w="0" w:type="dxa"/>
            <w:right w:w="108" w:type="dxa"/>
          </w:tblCellMar>
        </w:tblPrEx>
        <w:trPr>
          <w:jc w:val="center"/>
        </w:trPr>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150" w:type="dxa"/>
              <w:bottom w:w="120" w:type="dxa"/>
              <w:right w:w="150" w:type="dxa"/>
            </w:tcMar>
          </w:tcPr>
          <w:p w14:paraId="00070234">
            <w:pPr>
              <w:spacing w:before="0" w:after="0" w:line="276" w:lineRule="auto"/>
            </w:pPr>
            <w:r>
              <w:rPr>
                <w:rFonts w:ascii="Consolas" w:hAnsi="Consolas"/>
                <w:color w:val="DCDCDC"/>
                <w:sz w:val="19"/>
              </w:rPr>
              <w:t>{</w:t>
            </w:r>
            <w:r>
              <w:rPr>
                <w:rFonts w:ascii="Consolas" w:hAnsi="Consolas"/>
                <w:color w:val="DCDCDC"/>
                <w:sz w:val="19"/>
              </w:rPr>
              <w:br w:type="textWrapping"/>
            </w:r>
            <w:r>
              <w:rPr>
                <w:rFonts w:ascii="Consolas" w:hAnsi="Consolas"/>
                <w:color w:val="DCDCDC"/>
                <w:sz w:val="19"/>
              </w:rPr>
              <w:t xml:space="preserve">  "transaction_id": "tx_edugenie_98765_alpha",</w:t>
            </w:r>
            <w:r>
              <w:rPr>
                <w:rFonts w:ascii="Consolas" w:hAnsi="Consolas"/>
                <w:color w:val="DCDCDC"/>
                <w:sz w:val="19"/>
              </w:rPr>
              <w:br w:type="textWrapping"/>
            </w:r>
            <w:r>
              <w:rPr>
                <w:rFonts w:ascii="Consolas" w:hAnsi="Consolas"/>
                <w:color w:val="DCDCDC"/>
                <w:sz w:val="19"/>
              </w:rPr>
              <w:t xml:space="preserve">  "timestamp": "2026-09-29T10:52:00Z",</w:t>
            </w:r>
            <w:r>
              <w:rPr>
                <w:rFonts w:ascii="Consolas" w:hAnsi="Consolas"/>
                <w:color w:val="DCDCDC"/>
                <w:sz w:val="19"/>
              </w:rPr>
              <w:br w:type="textWrapping"/>
            </w:r>
            <w:r>
              <w:rPr>
                <w:rFonts w:ascii="Consolas" w:hAnsi="Consolas"/>
                <w:color w:val="DCDCDC"/>
                <w:sz w:val="19"/>
              </w:rPr>
              <w:t xml:space="preserve">  "session_context": {</w:t>
            </w:r>
            <w:r>
              <w:rPr>
                <w:rFonts w:ascii="Consolas" w:hAnsi="Consolas"/>
                <w:color w:val="DCDCDC"/>
                <w:sz w:val="19"/>
              </w:rPr>
              <w:br w:type="textWrapping"/>
            </w:r>
            <w:r>
              <w:rPr>
                <w:rFonts w:ascii="Consolas" w:hAnsi="Consolas"/>
                <w:color w:val="DCDCDC"/>
                <w:sz w:val="19"/>
              </w:rPr>
              <w:t xml:space="preserve">    "user_id": "usr_9988_prod",</w:t>
            </w:r>
            <w:r>
              <w:rPr>
                <w:rFonts w:ascii="Consolas" w:hAnsi="Consolas"/>
                <w:color w:val="DCDCDC"/>
                <w:sz w:val="19"/>
              </w:rPr>
              <w:br w:type="textWrapping"/>
            </w:r>
            <w:r>
              <w:rPr>
                <w:rFonts w:ascii="Consolas" w:hAnsi="Consolas"/>
                <w:color w:val="DCDCDC"/>
                <w:sz w:val="19"/>
              </w:rPr>
              <w:t xml:space="preserve">    "course_id": "crs_advanced_machine_learning_04"</w:t>
            </w:r>
            <w:r>
              <w:rPr>
                <w:rFonts w:ascii="Consolas" w:hAnsi="Consolas"/>
                <w:color w:val="DCDCDC"/>
                <w:sz w:val="19"/>
              </w:rPr>
              <w:br w:type="textWrapping"/>
            </w:r>
            <w:r>
              <w:rPr>
                <w:rFonts w:ascii="Consolas" w:hAnsi="Consolas"/>
                <w:color w:val="DCDCDC"/>
                <w:sz w:val="19"/>
              </w:rPr>
              <w:t xml:space="preserve">  },</w:t>
            </w:r>
            <w:r>
              <w:rPr>
                <w:rFonts w:ascii="Consolas" w:hAnsi="Consolas"/>
                <w:color w:val="DCDCDC"/>
                <w:sz w:val="19"/>
              </w:rPr>
              <w:br w:type="textWrapping"/>
            </w:r>
            <w:r>
              <w:rPr>
                <w:rFonts w:ascii="Consolas" w:hAnsi="Consolas"/>
                <w:color w:val="DCDCDC"/>
                <w:sz w:val="19"/>
              </w:rPr>
              <w:t xml:space="preserve">  "artifact_manifest": {</w:t>
            </w:r>
            <w:r>
              <w:rPr>
                <w:rFonts w:ascii="Consolas" w:hAnsi="Consolas"/>
                <w:color w:val="DCDCDC"/>
                <w:sz w:val="19"/>
              </w:rPr>
              <w:br w:type="textWrapping"/>
            </w:r>
            <w:r>
              <w:rPr>
                <w:rFonts w:ascii="Consolas" w:hAnsi="Consolas"/>
                <w:color w:val="DCDCDC"/>
                <w:sz w:val="19"/>
              </w:rPr>
              <w:t xml:space="preserve">    "document_id": "doc_9011_layer_norm",</w:t>
            </w:r>
            <w:r>
              <w:rPr>
                <w:rFonts w:ascii="Consolas" w:hAnsi="Consolas"/>
                <w:color w:val="DCDCDC"/>
                <w:sz w:val="19"/>
              </w:rPr>
              <w:br w:type="textWrapping"/>
            </w:r>
            <w:r>
              <w:rPr>
                <w:rFonts w:ascii="Consolas" w:hAnsi="Consolas"/>
                <w:color w:val="DCDCDC"/>
                <w:sz w:val="19"/>
              </w:rPr>
              <w:t xml:space="preserve">    "payload_type": "MULTI",</w:t>
            </w:r>
            <w:r>
              <w:rPr>
                <w:rFonts w:ascii="Consolas" w:hAnsi="Consolas"/>
                <w:color w:val="DCDCDC"/>
                <w:sz w:val="19"/>
              </w:rPr>
              <w:br w:type="textWrapping"/>
            </w:r>
            <w:r>
              <w:rPr>
                <w:rFonts w:ascii="Consolas" w:hAnsi="Consolas"/>
                <w:color w:val="DCDCDC"/>
                <w:sz w:val="19"/>
              </w:rPr>
              <w:t xml:space="preserve">    "source_url": "https://storage.edugenie.internal/raw_assets/layer_norm.pdf",</w:t>
            </w:r>
            <w:r>
              <w:rPr>
                <w:rFonts w:ascii="Consolas" w:hAnsi="Consolas"/>
                <w:color w:val="DCDCDC"/>
                <w:sz w:val="19"/>
              </w:rPr>
              <w:br w:type="textWrapping"/>
            </w:r>
            <w:r>
              <w:rPr>
                <w:rFonts w:ascii="Consolas" w:hAnsi="Consolas"/>
                <w:color w:val="DCDCDC"/>
                <w:sz w:val="19"/>
              </w:rPr>
              <w:t xml:space="preserve">    "token_override": 145000,</w:t>
            </w:r>
            <w:r>
              <w:rPr>
                <w:rFonts w:ascii="Consolas" w:hAnsi="Consolas"/>
                <w:color w:val="DCDCDC"/>
                <w:sz w:val="19"/>
              </w:rPr>
              <w:br w:type="textWrapping"/>
            </w:r>
            <w:r>
              <w:rPr>
                <w:rFonts w:ascii="Consolas" w:hAnsi="Consolas"/>
                <w:color w:val="DCDCDC"/>
                <w:sz w:val="19"/>
              </w:rPr>
              <w:t xml:space="preserve">    "generation_parameters": {</w:t>
            </w:r>
            <w:r>
              <w:rPr>
                <w:rFonts w:ascii="Consolas" w:hAnsi="Consolas"/>
                <w:color w:val="DCDCDC"/>
                <w:sz w:val="19"/>
              </w:rPr>
              <w:br w:type="textWrapping"/>
            </w:r>
            <w:r>
              <w:rPr>
                <w:rFonts w:ascii="Consolas" w:hAnsi="Consolas"/>
                <w:color w:val="DCDCDC"/>
                <w:sz w:val="19"/>
              </w:rPr>
              <w:t xml:space="preserve">      "temperature": 0.15,</w:t>
            </w:r>
            <w:r>
              <w:rPr>
                <w:rFonts w:ascii="Consolas" w:hAnsi="Consolas"/>
                <w:color w:val="DCDCDC"/>
                <w:sz w:val="19"/>
              </w:rPr>
              <w:br w:type="textWrapping"/>
            </w:r>
            <w:r>
              <w:rPr>
                <w:rFonts w:ascii="Consolas" w:hAnsi="Consolas"/>
                <w:color w:val="DCDCDC"/>
                <w:sz w:val="19"/>
              </w:rPr>
              <w:t xml:space="preserve">      "enforce_json_schema": true</w:t>
            </w:r>
            <w:r>
              <w:rPr>
                <w:rFonts w:ascii="Consolas" w:hAnsi="Consolas"/>
                <w:color w:val="DCDCDC"/>
                <w:sz w:val="19"/>
              </w:rPr>
              <w:br w:type="textWrapping"/>
            </w:r>
            <w:r>
              <w:rPr>
                <w:rFonts w:ascii="Consolas" w:hAnsi="Consolas"/>
                <w:color w:val="DCDCDC"/>
                <w:sz w:val="19"/>
              </w:rPr>
              <w:t xml:space="preserve">    }</w:t>
            </w:r>
            <w:r>
              <w:rPr>
                <w:rFonts w:ascii="Consolas" w:hAnsi="Consolas"/>
                <w:color w:val="DCDCDC"/>
                <w:sz w:val="19"/>
              </w:rPr>
              <w:br w:type="textWrapping"/>
            </w:r>
            <w:r>
              <w:rPr>
                <w:rFonts w:ascii="Consolas" w:hAnsi="Consolas"/>
                <w:color w:val="DCDCDC"/>
                <w:sz w:val="19"/>
              </w:rPr>
              <w:t xml:space="preserve">  }</w:t>
            </w:r>
            <w:r>
              <w:rPr>
                <w:rFonts w:ascii="Consolas" w:hAnsi="Consolas"/>
                <w:color w:val="DCDCDC"/>
                <w:sz w:val="19"/>
              </w:rPr>
              <w:br w:type="textWrapping"/>
            </w:r>
            <w:r>
              <w:rPr>
                <w:rFonts w:ascii="Consolas" w:hAnsi="Consolas"/>
                <w:color w:val="DCDCDC"/>
                <w:sz w:val="19"/>
              </w:rPr>
              <w:t>}</w:t>
            </w:r>
          </w:p>
        </w:tc>
      </w:tr>
    </w:tbl>
    <w:p w14:paraId="484B4A58">
      <w:pPr>
        <w:spacing w:before="0" w:after="120"/>
      </w:pPr>
    </w:p>
    <w:p w14:paraId="1BF79AED">
      <w:pPr>
        <w:pStyle w:val="2"/>
        <w:keepNext/>
        <w:spacing w:before="360" w:after="160"/>
      </w:pPr>
      <w:r>
        <w:rPr>
          <w:rFonts w:ascii="Arial" w:hAnsi="Arial"/>
          <w:b/>
          <w:color w:val="003366"/>
          <w:sz w:val="36"/>
        </w:rPr>
        <w:t>3. Concrete Prompt Engineering Registry</w:t>
      </w:r>
    </w:p>
    <w:p w14:paraId="146AD482">
      <w:r>
        <w:t>To protect against non-deterministic formatting failures, Edugenie relies on explicit prompt models paired directly with strict system-instruction blocks. Below is the active production template utilized for generating interactive evaluation items.</w:t>
      </w:r>
    </w:p>
    <w:p w14:paraId="0F7DFFAC">
      <w:pPr>
        <w:pStyle w:val="3"/>
        <w:keepNext/>
        <w:spacing w:before="240" w:after="120"/>
      </w:pPr>
      <w:r>
        <w:rPr>
          <w:rFonts w:ascii="Arial" w:hAnsi="Arial"/>
          <w:b/>
          <w:color w:val="4682B4"/>
          <w:sz w:val="28"/>
        </w:rPr>
        <w:t>3.1 Evaluation Extraction System Prompt Pattern</w:t>
      </w:r>
    </w:p>
    <w:p w14:paraId="4F572E95">
      <w:r>
        <w:t>This execution block forces the model to ignore conversational commentary and return strictly bounded data structures mapped back to contextual source indices.</w:t>
      </w:r>
    </w:p>
    <w:tbl>
      <w:tblPr>
        <w:tblStyle w:val="12"/>
        <w:tblW w:w="0" w:type="auto"/>
        <w:jc w:val="center"/>
        <w:tblLayout w:type="fixed"/>
        <w:tblCellMar>
          <w:top w:w="0" w:type="dxa"/>
          <w:left w:w="108" w:type="dxa"/>
          <w:bottom w:w="0" w:type="dxa"/>
          <w:right w:w="108" w:type="dxa"/>
        </w:tblCellMar>
      </w:tblPr>
      <w:tblGrid>
        <w:gridCol w:w="9360"/>
      </w:tblGrid>
      <w:tr w14:paraId="32FBDAFE">
        <w:tblPrEx>
          <w:tblCellMar>
            <w:top w:w="0" w:type="dxa"/>
            <w:left w:w="108" w:type="dxa"/>
            <w:bottom w:w="0" w:type="dxa"/>
            <w:right w:w="108" w:type="dxa"/>
          </w:tblCellMar>
        </w:tblPrEx>
        <w:trPr>
          <w:jc w:val="center"/>
        </w:trPr>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150" w:type="dxa"/>
              <w:bottom w:w="120" w:type="dxa"/>
              <w:right w:w="150" w:type="dxa"/>
            </w:tcMar>
          </w:tcPr>
          <w:p w14:paraId="3945A59D">
            <w:pPr>
              <w:spacing w:before="0" w:after="0" w:line="276" w:lineRule="auto"/>
            </w:pPr>
            <w:r>
              <w:rPr>
                <w:rFonts w:ascii="Consolas" w:hAnsi="Consolas"/>
                <w:color w:val="DCDCDC"/>
                <w:sz w:val="19"/>
              </w:rPr>
              <w:t>You are the core cognitive parsing engine of the Edugenie platform.</w:t>
            </w:r>
            <w:r>
              <w:rPr>
                <w:rFonts w:ascii="Consolas" w:hAnsi="Consolas"/>
                <w:color w:val="DCDCDC"/>
                <w:sz w:val="19"/>
              </w:rPr>
              <w:br w:type="textWrapping"/>
            </w:r>
            <w:r>
              <w:rPr>
                <w:rFonts w:ascii="Consolas" w:hAnsi="Consolas"/>
                <w:color w:val="DCDCDC"/>
                <w:sz w:val="19"/>
              </w:rPr>
              <w:t>Your mandate is to evaluate the provided textbook or multi-modal contextual corpus and extract foundational learning checkpoints.</w:t>
            </w:r>
            <w:r>
              <w:rPr>
                <w:rFonts w:ascii="Consolas" w:hAnsi="Consolas"/>
                <w:color w:val="DCDCDC"/>
                <w:sz w:val="19"/>
              </w:rPr>
              <w:br w:type="textWrapping"/>
            </w:r>
            <w:r>
              <w:rPr>
                <w:rFonts w:ascii="Consolas" w:hAnsi="Consolas"/>
                <w:color w:val="DCDCDC"/>
                <w:sz w:val="19"/>
              </w:rPr>
              <w:br w:type="textWrapping"/>
            </w:r>
            <w:r>
              <w:rPr>
                <w:rFonts w:ascii="Consolas" w:hAnsi="Consolas"/>
                <w:color w:val="DCDCDC"/>
                <w:sz w:val="19"/>
              </w:rPr>
              <w:t>CRITICAL INSTRUCTIONS:</w:t>
            </w:r>
            <w:r>
              <w:rPr>
                <w:rFonts w:ascii="Consolas" w:hAnsi="Consolas"/>
                <w:color w:val="DCDCDC"/>
                <w:sz w:val="19"/>
              </w:rPr>
              <w:br w:type="textWrapping"/>
            </w:r>
            <w:r>
              <w:rPr>
                <w:rFonts w:ascii="Consolas" w:hAnsi="Consolas"/>
                <w:color w:val="DCDCDC"/>
                <w:sz w:val="19"/>
              </w:rPr>
              <w:t>1. Generate an assessment structure strictly matching the provided JSON schema definitions.</w:t>
            </w:r>
            <w:r>
              <w:rPr>
                <w:rFonts w:ascii="Consolas" w:hAnsi="Consolas"/>
                <w:color w:val="DCDCDC"/>
                <w:sz w:val="19"/>
              </w:rPr>
              <w:br w:type="textWrapping"/>
            </w:r>
            <w:r>
              <w:rPr>
                <w:rFonts w:ascii="Consolas" w:hAnsi="Consolas"/>
                <w:color w:val="DCDCDC"/>
                <w:sz w:val="19"/>
              </w:rPr>
              <w:t>2. Each generated question must map directly to an verified semantic chunk ID inside the input context.</w:t>
            </w:r>
            <w:r>
              <w:rPr>
                <w:rFonts w:ascii="Consolas" w:hAnsi="Consolas"/>
                <w:color w:val="DCDCDC"/>
                <w:sz w:val="19"/>
              </w:rPr>
              <w:br w:type="textWrapping"/>
            </w:r>
            <w:r>
              <w:rPr>
                <w:rFonts w:ascii="Consolas" w:hAnsi="Consolas"/>
                <w:color w:val="DCDCDC"/>
                <w:sz w:val="19"/>
              </w:rPr>
              <w:t>3. Provide distinct distraction paths (wrong answers) that address specific, classic student misconceptions.</w:t>
            </w:r>
            <w:r>
              <w:rPr>
                <w:rFonts w:ascii="Consolas" w:hAnsi="Consolas"/>
                <w:color w:val="DCDCDC"/>
                <w:sz w:val="19"/>
              </w:rPr>
              <w:br w:type="textWrapping"/>
            </w:r>
            <w:r>
              <w:rPr>
                <w:rFonts w:ascii="Consolas" w:hAnsi="Consolas"/>
                <w:color w:val="DCDCDC"/>
                <w:sz w:val="19"/>
              </w:rPr>
              <w:t>4. Do not include any preambles, introductory commentary, or conversational conversational elements.</w:t>
            </w:r>
            <w:r>
              <w:rPr>
                <w:rFonts w:ascii="Consolas" w:hAnsi="Consolas"/>
                <w:color w:val="DCDCDC"/>
                <w:sz w:val="19"/>
              </w:rPr>
              <w:br w:type="textWrapping"/>
            </w:r>
            <w:r>
              <w:rPr>
                <w:rFonts w:ascii="Consolas" w:hAnsi="Consolas"/>
                <w:color w:val="DCDCDC"/>
                <w:sz w:val="19"/>
              </w:rPr>
              <w:br w:type="textWrapping"/>
            </w:r>
            <w:r>
              <w:rPr>
                <w:rFonts w:ascii="Consolas" w:hAnsi="Consolas"/>
                <w:color w:val="DCDCDC"/>
                <w:sz w:val="19"/>
              </w:rPr>
              <w:t>[Target Context Block Start]</w:t>
            </w:r>
            <w:r>
              <w:rPr>
                <w:rFonts w:ascii="Consolas" w:hAnsi="Consolas"/>
                <w:color w:val="DCDCDC"/>
                <w:sz w:val="19"/>
              </w:rPr>
              <w:br w:type="textWrapping"/>
            </w:r>
            <w:r>
              <w:rPr>
                <w:rFonts w:ascii="Consolas" w:hAnsi="Consolas"/>
                <w:color w:val="DCDCDC"/>
                <w:sz w:val="19"/>
              </w:rPr>
              <w:t>{{CONTEXT_DATA_STREAM}}</w:t>
            </w:r>
            <w:r>
              <w:rPr>
                <w:rFonts w:ascii="Consolas" w:hAnsi="Consolas"/>
                <w:color w:val="DCDCDC"/>
                <w:sz w:val="19"/>
              </w:rPr>
              <w:br w:type="textWrapping"/>
            </w:r>
            <w:r>
              <w:rPr>
                <w:rFonts w:ascii="Consolas" w:hAnsi="Consolas"/>
                <w:color w:val="DCDCDC"/>
                <w:sz w:val="19"/>
              </w:rPr>
              <w:t>[Target Context Block End]</w:t>
            </w:r>
          </w:p>
        </w:tc>
      </w:tr>
    </w:tbl>
    <w:p w14:paraId="7EC28083">
      <w:pPr>
        <w:spacing w:before="0" w:after="120"/>
      </w:pPr>
    </w:p>
    <w:p w14:paraId="61752774">
      <w:pPr>
        <w:pStyle w:val="2"/>
        <w:keepNext/>
        <w:spacing w:before="360" w:after="160"/>
      </w:pPr>
      <w:r>
        <w:rPr>
          <w:rFonts w:ascii="Arial" w:hAnsi="Arial"/>
          <w:b/>
          <w:color w:val="003366"/>
          <w:sz w:val="36"/>
        </w:rPr>
        <w:t>4. Sample Execution Verification &amp; Error Mitigation</w:t>
      </w:r>
    </w:p>
    <w:p w14:paraId="68C33BD7">
      <w:r>
        <w:t>Edugenie maintains structural stability using pre-execution schema contracts and defensive fallback behaviors. This section establishes exactly how the runtime handles validation exceptions during LLM streaming loops.</w:t>
      </w:r>
    </w:p>
    <w:p w14:paraId="185B198C">
      <w:pPr>
        <w:pStyle w:val="3"/>
        <w:keepNext/>
        <w:spacing w:before="240" w:after="120"/>
      </w:pPr>
      <w:r>
        <w:rPr>
          <w:rFonts w:ascii="Arial" w:hAnsi="Arial"/>
          <w:b/>
          <w:color w:val="4682B4"/>
          <w:sz w:val="28"/>
        </w:rPr>
        <w:t>4.1 Live System Mock Validation Breakdown</w:t>
      </w:r>
    </w:p>
    <w:p w14:paraId="5B2AD08F">
      <w:r>
        <w:t>The verification loop evaluates raw text responses coming out of the Google Gemini API. If the payload deviates from the strict structural contract, it is routed to an automated healing pipeline.</w:t>
      </w:r>
    </w:p>
    <w:p w14:paraId="73C772F8">
      <w:r>
        <w:t>1. JSON Boundary Scan: The system executes an initial pattern check to isolate the opening and closing brackets, stripping trailing Markdown headers if present.</w:t>
      </w:r>
    </w:p>
    <w:p w14:paraId="3C333FE1">
      <w:r>
        <w:t>2. Typed Schema Interrogation: Fields like question_text, options, and correctness_index are matched against structural definitions. If a data type mismatch occurs, an error code is triggered.</w:t>
      </w:r>
    </w:p>
    <w:p w14:paraId="667AF3B6">
      <w:r>
        <w:t>3. Content Source Cross-Referencing: The orchestrator checks if the citation markers correspond to existing context nodes. Any orphaned marker forces an immediate re-evaluation thread.</w:t>
      </w:r>
    </w:p>
    <w:p w14:paraId="37DDE24B">
      <w:pPr>
        <w:pStyle w:val="3"/>
        <w:keepNext/>
        <w:spacing w:before="240" w:after="120"/>
      </w:pPr>
      <w:r>
        <w:rPr>
          <w:rFonts w:ascii="Arial" w:hAnsi="Arial"/>
          <w:b/>
          <w:color w:val="4682B4"/>
          <w:sz w:val="28"/>
        </w:rPr>
        <w:t>4.2 System Error Response Log Spec</w:t>
      </w:r>
    </w:p>
    <w:p w14:paraId="35214123">
      <w:r>
        <w:t>When a validation exception trips, the platform generates a structured error manifest to enable non-blocking self-healing routines:</w:t>
      </w:r>
    </w:p>
    <w:tbl>
      <w:tblPr>
        <w:tblStyle w:val="12"/>
        <w:tblW w:w="0" w:type="auto"/>
        <w:jc w:val="center"/>
        <w:tblLayout w:type="fixed"/>
        <w:tblCellMar>
          <w:top w:w="0" w:type="dxa"/>
          <w:left w:w="108" w:type="dxa"/>
          <w:bottom w:w="0" w:type="dxa"/>
          <w:right w:w="108" w:type="dxa"/>
        </w:tblCellMar>
      </w:tblPr>
      <w:tblGrid>
        <w:gridCol w:w="9360"/>
      </w:tblGrid>
      <w:tr w14:paraId="4FB090A3">
        <w:tblPrEx>
          <w:tblCellMar>
            <w:top w:w="0" w:type="dxa"/>
            <w:left w:w="108" w:type="dxa"/>
            <w:bottom w:w="0" w:type="dxa"/>
            <w:right w:w="108" w:type="dxa"/>
          </w:tblCellMar>
        </w:tblPrEx>
        <w:trPr>
          <w:jc w:val="center"/>
        </w:trPr>
        <w:tc>
          <w:tcPr>
            <w:tcW w:w="9360" w:type="dxa"/>
            <w:tcBorders>
              <w:top w:val="single" w:color="333333" w:sz="6" w:space="0"/>
              <w:left w:val="single" w:color="333333" w:sz="6" w:space="0"/>
              <w:bottom w:val="single" w:color="333333" w:sz="6" w:space="0"/>
              <w:right w:val="single" w:color="333333" w:sz="6" w:space="0"/>
            </w:tcBorders>
            <w:shd w:val="clear" w:color="auto" w:fill="1E1E1E"/>
            <w:tcMar>
              <w:top w:w="120" w:type="dxa"/>
              <w:left w:w="150" w:type="dxa"/>
              <w:bottom w:w="120" w:type="dxa"/>
              <w:right w:w="150" w:type="dxa"/>
            </w:tcMar>
          </w:tcPr>
          <w:p w14:paraId="78704F9C">
            <w:pPr>
              <w:spacing w:before="0" w:after="0" w:line="276" w:lineRule="auto"/>
            </w:pPr>
            <w:r>
              <w:rPr>
                <w:rFonts w:ascii="Consolas" w:hAnsi="Consolas"/>
                <w:color w:val="DCDCDC"/>
                <w:sz w:val="19"/>
              </w:rPr>
              <w:t>{</w:t>
            </w:r>
            <w:r>
              <w:rPr>
                <w:rFonts w:ascii="Consolas" w:hAnsi="Consolas"/>
                <w:color w:val="DCDCDC"/>
                <w:sz w:val="19"/>
              </w:rPr>
              <w:br w:type="textWrapping"/>
            </w:r>
            <w:r>
              <w:rPr>
                <w:rFonts w:ascii="Consolas" w:hAnsi="Consolas"/>
                <w:color w:val="DCDCDC"/>
                <w:sz w:val="19"/>
              </w:rPr>
              <w:t xml:space="preserve">  "status": "VALIDATION_EXCEPTION_RECOVERABLE",</w:t>
            </w:r>
            <w:r>
              <w:rPr>
                <w:rFonts w:ascii="Consolas" w:hAnsi="Consolas"/>
                <w:color w:val="DCDCDC"/>
                <w:sz w:val="19"/>
              </w:rPr>
              <w:br w:type="textWrapping"/>
            </w:r>
            <w:r>
              <w:rPr>
                <w:rFonts w:ascii="Consolas" w:hAnsi="Consolas"/>
                <w:color w:val="DCDCDC"/>
                <w:sz w:val="19"/>
              </w:rPr>
              <w:t xml:space="preserve">  "error_telemetry": {</w:t>
            </w:r>
            <w:r>
              <w:rPr>
                <w:rFonts w:ascii="Consolas" w:hAnsi="Consolas"/>
                <w:color w:val="DCDCDC"/>
                <w:sz w:val="19"/>
              </w:rPr>
              <w:br w:type="textWrapping"/>
            </w:r>
            <w:r>
              <w:rPr>
                <w:rFonts w:ascii="Consolas" w:hAnsi="Consolas"/>
                <w:color w:val="DCDCDC"/>
                <w:sz w:val="19"/>
              </w:rPr>
              <w:t xml:space="preserve">    "code": "ERR_SCHEMA_TYPE_MISMATCH",</w:t>
            </w:r>
            <w:r>
              <w:rPr>
                <w:rFonts w:ascii="Consolas" w:hAnsi="Consolas"/>
                <w:color w:val="DCDCDC"/>
                <w:sz w:val="19"/>
              </w:rPr>
              <w:br w:type="textWrapping"/>
            </w:r>
            <w:r>
              <w:rPr>
                <w:rFonts w:ascii="Consolas" w:hAnsi="Consolas"/>
                <w:color w:val="DCDCDC"/>
                <w:sz w:val="19"/>
              </w:rPr>
              <w:t xml:space="preserve">    "timestamp": "2026-09-29T10:52:14Z",</w:t>
            </w:r>
            <w:r>
              <w:rPr>
                <w:rFonts w:ascii="Consolas" w:hAnsi="Consolas"/>
                <w:color w:val="DCDCDC"/>
                <w:sz w:val="19"/>
              </w:rPr>
              <w:br w:type="textWrapping"/>
            </w:r>
            <w:r>
              <w:rPr>
                <w:rFonts w:ascii="Consolas" w:hAnsi="Consolas"/>
                <w:color w:val="DCDCDC"/>
                <w:sz w:val="19"/>
              </w:rPr>
              <w:t xml:space="preserve">    "target_field": "assessment_block.correctness_index",</w:t>
            </w:r>
            <w:r>
              <w:rPr>
                <w:rFonts w:ascii="Consolas" w:hAnsi="Consolas"/>
                <w:color w:val="DCDCDC"/>
                <w:sz w:val="19"/>
              </w:rPr>
              <w:br w:type="textWrapping"/>
            </w:r>
            <w:r>
              <w:rPr>
                <w:rFonts w:ascii="Consolas" w:hAnsi="Consolas"/>
                <w:color w:val="DCDCDC"/>
                <w:sz w:val="19"/>
              </w:rPr>
              <w:t xml:space="preserve">    "received_value_type": "String",</w:t>
            </w:r>
            <w:r>
              <w:rPr>
                <w:rFonts w:ascii="Consolas" w:hAnsi="Consolas"/>
                <w:color w:val="DCDCDC"/>
                <w:sz w:val="19"/>
              </w:rPr>
              <w:br w:type="textWrapping"/>
            </w:r>
            <w:r>
              <w:rPr>
                <w:rFonts w:ascii="Consolas" w:hAnsi="Consolas"/>
                <w:color w:val="DCDCDC"/>
                <w:sz w:val="19"/>
              </w:rPr>
              <w:t xml:space="preserve">    "expected_value_type": "Integer [0-3]"</w:t>
            </w:r>
            <w:r>
              <w:rPr>
                <w:rFonts w:ascii="Consolas" w:hAnsi="Consolas"/>
                <w:color w:val="DCDCDC"/>
                <w:sz w:val="19"/>
              </w:rPr>
              <w:br w:type="textWrapping"/>
            </w:r>
            <w:r>
              <w:rPr>
                <w:rFonts w:ascii="Consolas" w:hAnsi="Consolas"/>
                <w:color w:val="DCDCDC"/>
                <w:sz w:val="19"/>
              </w:rPr>
              <w:t xml:space="preserve">  },</w:t>
            </w:r>
            <w:r>
              <w:rPr>
                <w:rFonts w:ascii="Consolas" w:hAnsi="Consolas"/>
                <w:color w:val="DCDCDC"/>
                <w:sz w:val="19"/>
              </w:rPr>
              <w:br w:type="textWrapping"/>
            </w:r>
            <w:r>
              <w:rPr>
                <w:rFonts w:ascii="Consolas" w:hAnsi="Consolas"/>
                <w:color w:val="DCDCDC"/>
                <w:sz w:val="19"/>
              </w:rPr>
              <w:t xml:space="preserve">  "healing_action": {</w:t>
            </w:r>
            <w:r>
              <w:rPr>
                <w:rFonts w:ascii="Consolas" w:hAnsi="Consolas"/>
                <w:color w:val="DCDCDC"/>
                <w:sz w:val="19"/>
              </w:rPr>
              <w:br w:type="textWrapping"/>
            </w:r>
            <w:r>
              <w:rPr>
                <w:rFonts w:ascii="Consolas" w:hAnsi="Consolas"/>
                <w:color w:val="DCDCDC"/>
                <w:sz w:val="19"/>
              </w:rPr>
              <w:t xml:space="preserve">    "attempt_count": 1,</w:t>
            </w:r>
            <w:r>
              <w:rPr>
                <w:rFonts w:ascii="Consolas" w:hAnsi="Consolas"/>
                <w:color w:val="DCDCDC"/>
                <w:sz w:val="19"/>
              </w:rPr>
              <w:br w:type="textWrapping"/>
            </w:r>
            <w:r>
              <w:rPr>
                <w:rFonts w:ascii="Consolas" w:hAnsi="Consolas"/>
                <w:color w:val="DCDCDC"/>
                <w:sz w:val="19"/>
              </w:rPr>
              <w:t xml:space="preserve">    "max_attempts": 3,</w:t>
            </w:r>
            <w:r>
              <w:rPr>
                <w:rFonts w:ascii="Consolas" w:hAnsi="Consolas"/>
                <w:color w:val="DCDCDC"/>
                <w:sz w:val="19"/>
              </w:rPr>
              <w:br w:type="textWrapping"/>
            </w:r>
            <w:r>
              <w:rPr>
                <w:rFonts w:ascii="Consolas" w:hAnsi="Consolas"/>
                <w:color w:val="DCDCDC"/>
                <w:sz w:val="19"/>
              </w:rPr>
              <w:t xml:space="preserve">    "sub_orchestration_route": "/api/v1/engine/heal_schema"</w:t>
            </w:r>
            <w:r>
              <w:rPr>
                <w:rFonts w:ascii="Consolas" w:hAnsi="Consolas"/>
                <w:color w:val="DCDCDC"/>
                <w:sz w:val="19"/>
              </w:rPr>
              <w:br w:type="textWrapping"/>
            </w:r>
            <w:r>
              <w:rPr>
                <w:rFonts w:ascii="Consolas" w:hAnsi="Consolas"/>
                <w:color w:val="DCDCDC"/>
                <w:sz w:val="19"/>
              </w:rPr>
              <w:t xml:space="preserve">  }</w:t>
            </w:r>
            <w:r>
              <w:rPr>
                <w:rFonts w:ascii="Consolas" w:hAnsi="Consolas"/>
                <w:color w:val="DCDCDC"/>
                <w:sz w:val="19"/>
              </w:rPr>
              <w:br w:type="textWrapping"/>
            </w:r>
            <w:r>
              <w:rPr>
                <w:rFonts w:ascii="Consolas" w:hAnsi="Consolas"/>
                <w:color w:val="DCDCDC"/>
                <w:sz w:val="19"/>
              </w:rPr>
              <w:t>}</w:t>
            </w:r>
          </w:p>
        </w:tc>
      </w:tr>
    </w:tbl>
    <w:p w14:paraId="41ACB912">
      <w:pPr>
        <w:spacing w:before="0" w:after="12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5956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color w:val="333333"/>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638</Words>
  <Characters>4659</Characters>
  <Lines>0</Lines>
  <Paragraphs>0</Paragraphs>
  <TotalTime>0</TotalTime>
  <ScaleCrop>false</ScaleCrop>
  <LinksUpToDate>false</LinksUpToDate>
  <CharactersWithSpaces>5309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ELCOT</cp:lastModifiedBy>
  <dcterms:modified xsi:type="dcterms:W3CDTF">2026-09-29T14:45:44Z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62F37BC95F4D4180B4B9D1D27DDC3034_13</vt:lpwstr>
  </property>
</Properties>
</file>