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5AB12">
      <w:pPr>
        <w:spacing w:before="2400"/>
      </w:pPr>
      <w:bookmarkStart w:id="0" w:name="_GoBack"/>
      <w:bookmarkEnd w:id="0"/>
    </w:p>
    <w:p w14:paraId="6843F9A1">
      <w:pPr>
        <w:spacing w:after="240"/>
      </w:pPr>
      <w:r>
        <w:rPr>
          <w:rFonts w:ascii="Calibri Light" w:hAnsi="Calibri Light"/>
          <w:b/>
          <w:i w:val="0"/>
          <w:color w:val="003366"/>
          <w:sz w:val="56"/>
        </w:rPr>
        <w:t>Scalability and Future-Proofing</w:t>
      </w:r>
      <w:r>
        <w:rPr>
          <w:rFonts w:ascii="Calibri Light" w:hAnsi="Calibri Light"/>
          <w:b/>
          <w:i w:val="0"/>
          <w:color w:val="003366"/>
          <w:sz w:val="56"/>
        </w:rPr>
        <w:br w:type="textWrapping"/>
      </w:r>
      <w:r>
        <w:rPr>
          <w:rFonts w:ascii="Calibri Light" w:hAnsi="Calibri Light"/>
          <w:b/>
          <w:i w:val="0"/>
          <w:color w:val="003366"/>
          <w:sz w:val="56"/>
        </w:rPr>
        <w:t>Document Blueprint</w:t>
      </w:r>
    </w:p>
    <w:p w14:paraId="41DC9745">
      <w:pPr>
        <w:spacing w:after="4000"/>
      </w:pPr>
      <w:r>
        <w:rPr>
          <w:rFonts w:ascii="Calibri" w:hAnsi="Calibri"/>
          <w:b w:val="0"/>
          <w:i/>
          <w:color w:val="4682B4"/>
          <w:sz w:val="28"/>
        </w:rPr>
        <w:t>Strategic Framework for Long-Term Digital Document Architecture</w:t>
      </w:r>
    </w:p>
    <w:p w14:paraId="6EB22542">
      <w:pPr>
        <w:spacing w:after="0"/>
      </w:pPr>
      <w:r>
        <w:rPr>
          <w:rFonts w:ascii="Calibri" w:hAnsi="Calibri"/>
          <w:b w:val="0"/>
          <w:i w:val="0"/>
          <w:color w:val="787878"/>
          <w:sz w:val="20"/>
        </w:rPr>
        <w:t>Prepared by: AI Document Architect</w:t>
      </w:r>
      <w:r>
        <w:rPr>
          <w:rFonts w:ascii="Calibri" w:hAnsi="Calibri"/>
          <w:b w:val="0"/>
          <w:i w:val="0"/>
          <w:color w:val="787878"/>
          <w:sz w:val="20"/>
        </w:rPr>
        <w:br w:type="textWrapping"/>
      </w:r>
      <w:r>
        <w:rPr>
          <w:rFonts w:ascii="Calibri" w:hAnsi="Calibri"/>
          <w:b w:val="0"/>
          <w:i w:val="0"/>
          <w:color w:val="787878"/>
          <w:sz w:val="20"/>
        </w:rPr>
        <w:t>Date: September 2026</w:t>
      </w:r>
      <w:r>
        <w:rPr>
          <w:rFonts w:ascii="Calibri" w:hAnsi="Calibri"/>
          <w:b w:val="0"/>
          <w:i w:val="0"/>
          <w:color w:val="787878"/>
          <w:sz w:val="20"/>
        </w:rPr>
        <w:br w:type="textWrapping"/>
      </w:r>
      <w:r>
        <w:rPr>
          <w:rFonts w:ascii="Calibri" w:hAnsi="Calibri"/>
          <w:b w:val="0"/>
          <w:i w:val="0"/>
          <w:color w:val="787878"/>
          <w:sz w:val="20"/>
        </w:rPr>
        <w:t>Version: 1.0</w:t>
      </w:r>
    </w:p>
    <w:p w14:paraId="1F3C9935">
      <w:r>
        <w:br w:type="page"/>
      </w:r>
    </w:p>
    <w:p w14:paraId="2F9F2022">
      <w:pPr>
        <w:pStyle w:val="2"/>
        <w:keepNext/>
        <w:spacing w:before="240" w:after="120"/>
      </w:pPr>
      <w:r>
        <w:rPr>
          <w:rFonts w:ascii="Calibri Light" w:hAnsi="Calibri Light"/>
          <w:b/>
          <w:i w:val="0"/>
          <w:color w:val="003366"/>
          <w:sz w:val="36"/>
        </w:rPr>
        <w:t>1. Executive Summary</w:t>
      </w:r>
    </w:p>
    <w:p w14:paraId="3FE56925">
      <w:pPr>
        <w:spacing w:after="240" w:line="276" w:lineRule="auto"/>
      </w:pPr>
      <w:r>
        <w:t>In modern enterprise environments, digital documents must function beyond static text presentations. This blueprint outlines the standard procedures for creating scalable, adaptable, and future-proof digital document systems. By establishing structured typography, component modularity, and programmatic schemas, organisations can drastically reduce structural technical debt and technical obsolescence.</w:t>
      </w:r>
    </w:p>
    <w:p w14:paraId="20E17FBF">
      <w:pPr>
        <w:pStyle w:val="2"/>
        <w:keepNext/>
        <w:spacing w:before="240" w:after="120"/>
      </w:pPr>
      <w:r>
        <w:rPr>
          <w:rFonts w:ascii="Calibri Light" w:hAnsi="Calibri Light"/>
          <w:b/>
          <w:i w:val="0"/>
          <w:color w:val="003366"/>
          <w:sz w:val="36"/>
        </w:rPr>
        <w:t>2. Document Scalability Matrix</w:t>
      </w:r>
    </w:p>
    <w:p w14:paraId="7E1F8F2E">
      <w:pPr>
        <w:spacing w:after="240"/>
      </w:pPr>
      <w:r>
        <w:t>To achieve robust performance across multi-thousand-page systems, structural integrity must be prioritized from day one. Below are the foundational pillars required for high-volume documents: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296E4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04DFC1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Pillar</w:t>
            </w:r>
          </w:p>
        </w:tc>
        <w:tc>
          <w:tcPr>
            <w:tcW w:w="3120" w:type="dxa"/>
          </w:tcPr>
          <w:p w14:paraId="4102C99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Current Constraint</w:t>
            </w:r>
          </w:p>
        </w:tc>
        <w:tc>
          <w:tcPr>
            <w:tcW w:w="3120" w:type="dxa"/>
          </w:tcPr>
          <w:p w14:paraId="7D7A674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Scalable Strategy</w:t>
            </w:r>
          </w:p>
        </w:tc>
      </w:tr>
      <w:tr w14:paraId="178A193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84F3EA4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Structural Formatting</w:t>
            </w:r>
          </w:p>
        </w:tc>
        <w:tc>
          <w:tcPr>
            <w:tcW w:w="3120" w:type="dxa"/>
          </w:tcPr>
          <w:p w14:paraId="771B71D0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Manual inline page-breaks and arbitrary spacing increments.</w:t>
            </w:r>
          </w:p>
        </w:tc>
        <w:tc>
          <w:tcPr>
            <w:tcW w:w="3120" w:type="dxa"/>
          </w:tcPr>
          <w:p w14:paraId="3C6AA803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Strict application of native styles, decoupled layout geometries, and inherited properties.</w:t>
            </w:r>
          </w:p>
        </w:tc>
      </w:tr>
      <w:tr w14:paraId="332FFE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1FEDF87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Metadata Tagging</w:t>
            </w:r>
          </w:p>
        </w:tc>
        <w:tc>
          <w:tcPr>
            <w:tcW w:w="3120" w:type="dxa"/>
          </w:tcPr>
          <w:p w14:paraId="5BE32FFA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Static visual categorisation lacking document semantics.</w:t>
            </w:r>
          </w:p>
        </w:tc>
        <w:tc>
          <w:tcPr>
            <w:tcW w:w="3120" w:type="dxa"/>
          </w:tcPr>
          <w:p w14:paraId="72D165F4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Embedded machine-readable XML attributes for lifecycle indexing and indexing schemas.</w:t>
            </w:r>
          </w:p>
        </w:tc>
      </w:tr>
      <w:tr w14:paraId="24A6189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C59CCAF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Asset Optimization</w:t>
            </w:r>
          </w:p>
        </w:tc>
        <w:tc>
          <w:tcPr>
            <w:tcW w:w="3120" w:type="dxa"/>
          </w:tcPr>
          <w:p w14:paraId="282CB752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Direct embedding of uncompressed multi-megabyte media assets.</w:t>
            </w:r>
          </w:p>
        </w:tc>
        <w:tc>
          <w:tcPr>
            <w:tcW w:w="3120" w:type="dxa"/>
          </w:tcPr>
          <w:p w14:paraId="2AFBF643">
            <w:pPr>
              <w:spacing w:before="80" w:after="80" w:line="240" w:lineRule="auto"/>
              <w:rPr>
                <w:color w:val="376092" w:themeColor="accent1" w:themeShade="BF"/>
              </w:rPr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Vector asset mapping (SVG/WMF) or referenced external paths with automated fallback states.</w:t>
            </w:r>
          </w:p>
        </w:tc>
      </w:tr>
    </w:tbl>
    <w:p w14:paraId="2E267FE5">
      <w:pPr>
        <w:spacing w:after="240"/>
      </w:pPr>
    </w:p>
    <w:p w14:paraId="634A7B5F">
      <w:pPr>
        <w:pStyle w:val="2"/>
        <w:keepNext/>
        <w:spacing w:before="240" w:after="120"/>
      </w:pPr>
      <w:r>
        <w:rPr>
          <w:rFonts w:ascii="Calibri Light" w:hAnsi="Calibri Light"/>
          <w:b/>
          <w:i w:val="0"/>
          <w:color w:val="003366"/>
          <w:sz w:val="36"/>
        </w:rPr>
        <w:t>3. Future-Proofing Architecture</w:t>
      </w:r>
    </w:p>
    <w:p w14:paraId="47E02DEF">
      <w:pPr>
        <w:pStyle w:val="3"/>
        <w:keepNext/>
        <w:spacing w:before="240" w:after="120"/>
      </w:pPr>
      <w:r>
        <w:rPr>
          <w:rFonts w:ascii="Calibri Light" w:hAnsi="Calibri Light"/>
          <w:b/>
          <w:i w:val="0"/>
          <w:color w:val="4682B4"/>
          <w:sz w:val="28"/>
        </w:rPr>
        <w:t>3.1 Open Standards Alignment</w:t>
      </w:r>
    </w:p>
    <w:p w14:paraId="0E0F5F94">
      <w:r>
        <w:t>All enterprise artifacts must conform strictly to international open standards (ISO/IEC 29500 for Office Open XML or ISO 26300 for Open Document Format). Avoiding proprietary micro-extensions guarantees that file layers remain cross-parsable across differing software deployments decades from now.</w:t>
      </w:r>
    </w:p>
    <w:p w14:paraId="16D45CF0">
      <w:pPr>
        <w:pStyle w:val="3"/>
        <w:keepNext/>
        <w:spacing w:before="240" w:after="120"/>
      </w:pPr>
      <w:r>
        <w:rPr>
          <w:rFonts w:ascii="Calibri Light" w:hAnsi="Calibri Light"/>
          <w:b/>
          <w:i w:val="0"/>
          <w:color w:val="4682B4"/>
          <w:sz w:val="28"/>
        </w:rPr>
        <w:t>3.2 Machine-Readability &amp; AI Readiness</w:t>
      </w:r>
    </w:p>
    <w:p w14:paraId="3B097A19">
      <w:pPr>
        <w:spacing w:after="120"/>
      </w:pPr>
      <w:r>
        <w:t>Future enterprise platforms will routinely query local document storage using automated agents and large language model architectures. Ensuring systematic machine-readability implies:</w:t>
      </w:r>
    </w:p>
    <w:p w14:paraId="22F6DF2D">
      <w:pPr>
        <w:pStyle w:val="23"/>
        <w:spacing w:after="80"/>
      </w:pPr>
      <w:r>
        <w:rPr>
          <w:rFonts w:ascii="Calibri" w:hAnsi="Calibri"/>
          <w:b/>
          <w:i w:val="0"/>
          <w:color w:val="003366"/>
          <w:sz w:val="22"/>
        </w:rPr>
        <w:t xml:space="preserve">Semantic Tagging: </w:t>
      </w:r>
      <w:r>
        <w:rPr>
          <w:rFonts w:ascii="Calibri" w:hAnsi="Calibri"/>
          <w:b w:val="0"/>
          <w:i w:val="0"/>
          <w:color w:val="333333"/>
          <w:sz w:val="22"/>
        </w:rPr>
        <w:t>Always use explicit block structures rather than simulating dividers with hyphens or underscores.</w:t>
      </w:r>
    </w:p>
    <w:p w14:paraId="1773F384">
      <w:pPr>
        <w:pStyle w:val="23"/>
        <w:spacing w:after="80"/>
      </w:pPr>
      <w:r>
        <w:rPr>
          <w:rFonts w:ascii="Calibri" w:hAnsi="Calibri"/>
          <w:b/>
          <w:i w:val="0"/>
          <w:color w:val="003366"/>
          <w:sz w:val="22"/>
        </w:rPr>
        <w:t xml:space="preserve">Alt-Text Coverage: </w:t>
      </w:r>
      <w:r>
        <w:rPr>
          <w:rFonts w:ascii="Calibri" w:hAnsi="Calibri"/>
          <w:b w:val="0"/>
          <w:i w:val="0"/>
          <w:color w:val="333333"/>
          <w:sz w:val="22"/>
        </w:rPr>
        <w:t>Enforce alternative textual payloads for all non-text layout components and data visualisations.</w:t>
      </w:r>
    </w:p>
    <w:p w14:paraId="19F679AF">
      <w:pPr>
        <w:pStyle w:val="23"/>
        <w:spacing w:after="80"/>
      </w:pPr>
      <w:r>
        <w:rPr>
          <w:rFonts w:ascii="Calibri" w:hAnsi="Calibri"/>
          <w:b/>
          <w:i w:val="0"/>
          <w:color w:val="003366"/>
          <w:sz w:val="22"/>
        </w:rPr>
        <w:t xml:space="preserve">Hierarchical Logic: </w:t>
      </w:r>
      <w:r>
        <w:rPr>
          <w:rFonts w:ascii="Calibri" w:hAnsi="Calibri"/>
          <w:b w:val="0"/>
          <w:i w:val="0"/>
          <w:color w:val="333333"/>
          <w:sz w:val="22"/>
        </w:rPr>
        <w:t>Ensure sequential header pathways (H1 -&gt; H2 -&gt; H3) to facilitate smooth parsing by extraction layers.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64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282</Words>
  <Characters>2037</Characters>
  <Lines>0</Lines>
  <Paragraphs>0</Paragraphs>
  <TotalTime>0</TotalTime>
  <ScaleCrop>false</ScaleCrop>
  <LinksUpToDate>false</LinksUpToDate>
  <CharactersWithSpaces>2289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E409C93C7B9745F0B8ABF569D004F987_13</vt:lpwstr>
  </property>
</Properties>
</file>