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CCF53">
      <w:pPr>
        <w:spacing w:before="2400" w:after="240"/>
        <w:jc w:val="left"/>
      </w:pPr>
      <w:bookmarkStart w:id="0" w:name="_GoBack"/>
      <w:bookmarkEnd w:id="0"/>
      <w:r>
        <w:rPr>
          <w:rFonts w:ascii="Calibri" w:hAnsi="Calibri"/>
          <w:b/>
          <w:color w:val="1A365D"/>
          <w:sz w:val="56"/>
        </w:rPr>
        <w:t>Team Involvement in Product Demonstrations</w:t>
      </w:r>
    </w:p>
    <w:p w14:paraId="4EDDF5F3">
      <w:pPr>
        <w:spacing w:after="4000"/>
        <w:jc w:val="left"/>
      </w:pPr>
      <w:r>
        <w:rPr>
          <w:rFonts w:ascii="Calibri" w:hAnsi="Calibri"/>
          <w:color w:val="2B6CB0"/>
          <w:sz w:val="26"/>
        </w:rPr>
        <w:t>A Comprehensive Framework for Cross-Functional Execution, Roles, and Delivery Checklists</w:t>
      </w:r>
    </w:p>
    <w:p w14:paraId="60E3BAE4">
      <w:pPr>
        <w:spacing w:after="80"/>
        <w:jc w:val="left"/>
      </w:pPr>
      <w:r>
        <w:rPr>
          <w:b/>
          <w:sz w:val="20"/>
        </w:rPr>
        <w:t xml:space="preserve">Prepared for: </w:t>
      </w:r>
      <w:r>
        <w:rPr>
          <w:sz w:val="20"/>
        </w:rPr>
        <w:t>Product &amp; Sales Operations Teams</w:t>
      </w:r>
      <w:r>
        <w:rPr>
          <w:sz w:val="20"/>
        </w:rPr>
        <w:br w:type="textWrapping"/>
      </w:r>
      <w:r>
        <w:rPr>
          <w:b/>
          <w:sz w:val="20"/>
        </w:rPr>
        <w:t xml:space="preserve">Date: </w:t>
      </w:r>
      <w:r>
        <w:rPr>
          <w:sz w:val="20"/>
        </w:rPr>
        <w:t>September 2026</w:t>
      </w:r>
      <w:r>
        <w:rPr>
          <w:sz w:val="20"/>
        </w:rPr>
        <w:br w:type="textWrapping"/>
      </w:r>
      <w:r>
        <w:rPr>
          <w:b/>
          <w:sz w:val="20"/>
        </w:rPr>
        <w:t xml:space="preserve">Status: </w:t>
      </w:r>
      <w:r>
        <w:rPr>
          <w:sz w:val="20"/>
        </w:rPr>
        <w:t>Operational Framework Standard</w:t>
      </w:r>
    </w:p>
    <w:p w14:paraId="592465BB">
      <w:r>
        <w:br w:type="page"/>
      </w:r>
    </w:p>
    <w:p w14:paraId="2963EAA5">
      <w:pPr>
        <w:keepNext/>
        <w:spacing w:before="360" w:after="160"/>
      </w:pPr>
      <w:r>
        <w:rPr>
          <w:b/>
          <w:color w:val="1A365D"/>
          <w:sz w:val="36"/>
        </w:rPr>
        <w:t>1. Executive Summary</w:t>
      </w:r>
    </w:p>
    <w:p w14:paraId="102C696E">
      <w:pPr>
        <w:spacing w:after="200" w:line="276" w:lineRule="auto"/>
      </w:pPr>
      <w:r>
        <w:t>High-stakes product demonstrations frequently fail not because the technology underperforms, but because the presenting team lacks alignment. Modern enterprise solutions require a cross-functional presentation team that seamlessly addresses business value, technical feasibility, and operational security concurrently. This framework details a standardized paradigm for orchestrating multi-departmental team involvement during technical showcases, client pitches, and product demonstrations.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6F0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A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36EC02">
            <w:pPr>
              <w:spacing w:before="80" w:after="80" w:line="276" w:lineRule="auto"/>
            </w:pPr>
            <w:r>
              <w:rPr>
                <w:rFonts w:ascii="Calibri" w:hAnsi="Calibri"/>
                <w:i/>
                <w:color w:val="2D3748"/>
                <w:sz w:val="21"/>
              </w:rPr>
              <w:t>Key Insight: The optimal product demonstration is structured like a well-choreographed theatrical production, where every cross-functional stakeholder has highly specific entry cues, defined talk tracks, and distinct boundary conditions.</w:t>
            </w:r>
          </w:p>
        </w:tc>
      </w:tr>
    </w:tbl>
    <w:p w14:paraId="19E4DD30">
      <w:pPr>
        <w:spacing w:before="0" w:after="120"/>
      </w:pPr>
    </w:p>
    <w:p w14:paraId="5FD5339B">
      <w:pPr>
        <w:keepNext/>
        <w:spacing w:before="360" w:after="160"/>
      </w:pPr>
      <w:r>
        <w:rPr>
          <w:b/>
          <w:color w:val="1A365D"/>
          <w:sz w:val="36"/>
        </w:rPr>
        <w:t>2. Cross-Functional Roles &amp; Boundaries</w:t>
      </w:r>
    </w:p>
    <w:p w14:paraId="6624C3E4">
      <w:pPr>
        <w:spacing w:after="160"/>
      </w:pPr>
      <w:r>
        <w:t>Successful team-driven demonstrations require assigning explicit ownership areas to suppress cross-talk and avoid confusing the client prospect:</w:t>
      </w:r>
    </w:p>
    <w:p w14:paraId="71C02575">
      <w:pPr>
        <w:pStyle w:val="23"/>
        <w:spacing w:after="80" w:line="276" w:lineRule="auto"/>
      </w:pPr>
      <w:r>
        <w:rPr>
          <w:b/>
          <w:color w:val="2B6CB0"/>
        </w:rPr>
        <w:t xml:space="preserve">Account Executive (AE) / Lead Host: </w:t>
      </w:r>
      <w:r>
        <w:t>Owns the customer relationship, controls the agenda, introduces the team, manages commercial boundaries, and drives the immediate next steps.</w:t>
      </w:r>
    </w:p>
    <w:p w14:paraId="0DC2614D">
      <w:pPr>
        <w:pStyle w:val="23"/>
        <w:spacing w:after="80" w:line="276" w:lineRule="auto"/>
      </w:pPr>
      <w:r>
        <w:rPr>
          <w:b/>
          <w:color w:val="2B6CB0"/>
        </w:rPr>
        <w:t xml:space="preserve">Solutions Engineer (SE) / Technical Lead: </w:t>
      </w:r>
      <w:r>
        <w:t>Owns the primary core click-through path, handles system architecture deep-dives, explains integrations, and manages live sandboxes.</w:t>
      </w:r>
    </w:p>
    <w:p w14:paraId="59AAAC27">
      <w:pPr>
        <w:pStyle w:val="23"/>
        <w:spacing w:after="80" w:line="276" w:lineRule="auto"/>
      </w:pPr>
      <w:r>
        <w:rPr>
          <w:b/>
          <w:color w:val="2B6CB0"/>
        </w:rPr>
        <w:t xml:space="preserve">Product Manager (PM) / Subject Matter Expert: </w:t>
      </w:r>
      <w:r>
        <w:t>Provides authoritative strategic vision, delivers context on upcoming product roadmap tracks, and contextualizes complex feature logic.</w:t>
      </w:r>
    </w:p>
    <w:p w14:paraId="59CE5403">
      <w:pPr>
        <w:pStyle w:val="23"/>
        <w:spacing w:after="80" w:line="276" w:lineRule="auto"/>
      </w:pPr>
      <w:r>
        <w:rPr>
          <w:b/>
          <w:color w:val="2B6CB0"/>
        </w:rPr>
        <w:t xml:space="preserve">Customer Success Manager (CSM): </w:t>
      </w:r>
      <w:r>
        <w:t>Establishes long-term operational credibility by detailing post-sale onboarding schedules, structural support models, and realized case studies.</w:t>
      </w:r>
    </w:p>
    <w:p w14:paraId="42E583D9">
      <w:pPr>
        <w:spacing w:after="160"/>
      </w:pPr>
    </w:p>
    <w:p w14:paraId="49578418">
      <w:pPr>
        <w:keepNext/>
        <w:spacing w:before="360" w:after="160"/>
      </w:pPr>
      <w:r>
        <w:rPr>
          <w:b/>
          <w:color w:val="1A365D"/>
          <w:sz w:val="36"/>
        </w:rPr>
        <w:t>3. Demonstration Engagement Matrix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0541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86EF1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592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193C0">
            <w:pPr>
              <w:jc w:val="center"/>
            </w:pPr>
            <w:r>
              <w:rPr>
                <w:b/>
                <w:color w:val="FFFFFF"/>
                <w:sz w:val="20"/>
              </w:rPr>
              <w:t>Prep Phase Focus</w:t>
            </w:r>
          </w:p>
        </w:tc>
        <w:tc>
          <w:tcPr>
            <w:tcW w:w="2880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1D5F6">
            <w:pPr>
              <w:jc w:val="center"/>
            </w:pPr>
            <w:r>
              <w:rPr>
                <w:b/>
                <w:color w:val="FFFFFF"/>
                <w:sz w:val="20"/>
              </w:rPr>
              <w:t>Live Execution Focus</w:t>
            </w:r>
          </w:p>
        </w:tc>
        <w:tc>
          <w:tcPr>
            <w:tcW w:w="2160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7AD869">
            <w:pPr>
              <w:jc w:val="center"/>
            </w:pPr>
            <w:r>
              <w:rPr>
                <w:b/>
                <w:color w:val="FFFFFF"/>
                <w:sz w:val="20"/>
              </w:rPr>
              <w:t>Post-Demo Sync</w:t>
            </w:r>
          </w:p>
        </w:tc>
      </w:tr>
      <w:tr w14:paraId="31D7D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CE0C0">
            <w:pPr>
              <w:spacing w:line="276" w:lineRule="auto"/>
            </w:pPr>
            <w:r>
              <w:rPr>
                <w:b/>
                <w:sz w:val="19"/>
              </w:rPr>
              <w:t>Account Exec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157E6">
            <w:pPr>
              <w:spacing w:line="276" w:lineRule="auto"/>
            </w:pPr>
            <w:r>
              <w:rPr>
                <w:sz w:val="19"/>
              </w:rPr>
              <w:t>Client discovery synthesis &amp; custom agenda creation.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D9F04">
            <w:pPr>
              <w:spacing w:line="276" w:lineRule="auto"/>
            </w:pPr>
            <w:r>
              <w:rPr>
                <w:sz w:val="19"/>
              </w:rPr>
              <w:t>Timekeeping, commercial control, meeting pacing.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F55D6">
            <w:pPr>
              <w:spacing w:line="276" w:lineRule="auto"/>
            </w:pPr>
            <w:r>
              <w:rPr>
                <w:sz w:val="19"/>
              </w:rPr>
              <w:t>Follow-up email detailing commercial proposals.</w:t>
            </w:r>
          </w:p>
        </w:tc>
      </w:tr>
      <w:tr w14:paraId="2AD64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320B8">
            <w:pPr>
              <w:spacing w:line="276" w:lineRule="auto"/>
            </w:pPr>
            <w:r>
              <w:rPr>
                <w:b/>
                <w:sz w:val="19"/>
              </w:rPr>
              <w:t>Solutions Eng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8A7D5">
            <w:pPr>
              <w:spacing w:line="276" w:lineRule="auto"/>
            </w:pPr>
            <w:r>
              <w:rPr>
                <w:sz w:val="19"/>
              </w:rPr>
              <w:t>Sandbox provisioning, custom configuration validation.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CE7D9">
            <w:pPr>
              <w:spacing w:line="276" w:lineRule="auto"/>
            </w:pPr>
            <w:r>
              <w:rPr>
                <w:sz w:val="19"/>
              </w:rPr>
              <w:t>Core system workflow execution &amp; API deep-dives.</w:t>
            </w:r>
          </w:p>
        </w:tc>
        <w:tc>
          <w:tcPr>
            <w:tcW w:w="216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84796">
            <w:pPr>
              <w:spacing w:line="276" w:lineRule="auto"/>
            </w:pPr>
            <w:r>
              <w:rPr>
                <w:sz w:val="19"/>
              </w:rPr>
              <w:t>Log environmental anomalies &amp; handle technical answers.</w:t>
            </w:r>
          </w:p>
        </w:tc>
      </w:tr>
      <w:tr w14:paraId="1E9EF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67D73">
            <w:pPr>
              <w:spacing w:line="276" w:lineRule="auto"/>
            </w:pPr>
            <w:r>
              <w:rPr>
                <w:b/>
                <w:sz w:val="19"/>
              </w:rPr>
              <w:t>Product Mgmt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4DCE6">
            <w:pPr>
              <w:spacing w:line="276" w:lineRule="auto"/>
            </w:pPr>
            <w:r>
              <w:rPr>
                <w:sz w:val="19"/>
              </w:rPr>
              <w:t>Review roadmap items matching client feature requests.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F183C">
            <w:pPr>
              <w:spacing w:line="276" w:lineRule="auto"/>
            </w:pPr>
            <w:r>
              <w:rPr>
                <w:sz w:val="19"/>
              </w:rPr>
              <w:t>Provide narrative context on long-term product vision.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8328B">
            <w:pPr>
              <w:spacing w:line="276" w:lineRule="auto"/>
            </w:pPr>
            <w:r>
              <w:rPr>
                <w:sz w:val="19"/>
              </w:rPr>
              <w:t>Incorporate client requests into feedback loops.</w:t>
            </w:r>
          </w:p>
        </w:tc>
      </w:tr>
      <w:tr w14:paraId="53B6D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B245F">
            <w:pPr>
              <w:spacing w:line="276" w:lineRule="auto"/>
            </w:pPr>
            <w:r>
              <w:rPr>
                <w:b/>
                <w:sz w:val="19"/>
              </w:rPr>
              <w:t>Customer Success</w:t>
            </w:r>
          </w:p>
        </w:tc>
        <w:tc>
          <w:tcPr>
            <w:tcW w:w="25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3D781">
            <w:pPr>
              <w:spacing w:line="276" w:lineRule="auto"/>
            </w:pPr>
            <w:r>
              <w:rPr>
                <w:sz w:val="19"/>
              </w:rPr>
              <w:t>Review client vertical case studies &amp; success metrics.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CE50C">
            <w:pPr>
              <w:spacing w:line="276" w:lineRule="auto"/>
            </w:pPr>
            <w:r>
              <w:rPr>
                <w:sz w:val="19"/>
              </w:rPr>
              <w:t>Present post-sale implementation &amp; support structures.</w:t>
            </w:r>
          </w:p>
        </w:tc>
        <w:tc>
          <w:tcPr>
            <w:tcW w:w="216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E9B01">
            <w:pPr>
              <w:spacing w:line="276" w:lineRule="auto"/>
            </w:pPr>
            <w:r>
              <w:rPr>
                <w:sz w:val="19"/>
              </w:rPr>
              <w:t>Outline immediate proof-of-concept timelines.</w:t>
            </w:r>
          </w:p>
        </w:tc>
      </w:tr>
    </w:tbl>
    <w:p w14:paraId="6A0AFE7C">
      <w:pPr>
        <w:spacing w:before="240" w:after="120"/>
      </w:pPr>
    </w:p>
    <w:p w14:paraId="0875E0C7">
      <w:pPr>
        <w:keepNext/>
        <w:spacing w:before="360" w:after="160"/>
      </w:pPr>
      <w:r>
        <w:rPr>
          <w:b/>
          <w:color w:val="1A365D"/>
          <w:sz w:val="36"/>
        </w:rPr>
        <w:t>4. Pre-Demonstration Alignment Protocol</w:t>
      </w:r>
    </w:p>
    <w:p w14:paraId="11F35A9A">
      <w:pPr>
        <w:spacing w:after="160"/>
      </w:pPr>
      <w:r>
        <w:t>To ensure absolute operational readiness, cross-functional demonstration teams must execute the following protocol exactly **24 hours prior** to live client interaction:</w:t>
      </w:r>
    </w:p>
    <w:p w14:paraId="16746A55">
      <w:pPr>
        <w:pStyle w:val="23"/>
        <w:spacing w:after="80" w:line="276" w:lineRule="auto"/>
      </w:pPr>
      <w:r>
        <w:t>Execute an isolated dry-run rehearsal to lock down presentation hand-offs.</w:t>
      </w:r>
    </w:p>
    <w:p w14:paraId="1301D91D">
      <w:pPr>
        <w:pStyle w:val="23"/>
        <w:spacing w:after="80" w:line="276" w:lineRule="auto"/>
      </w:pPr>
      <w:r>
        <w:t>Verify that sandbox configurations mirror the prospect's industry vertical exactly.</w:t>
      </w:r>
    </w:p>
    <w:p w14:paraId="6741B846">
      <w:pPr>
        <w:pStyle w:val="23"/>
        <w:spacing w:after="80" w:line="276" w:lineRule="auto"/>
      </w:pPr>
      <w:r>
        <w:t>Define clear escalation ownership boundaries if an unreleased product feature is requested live.</w:t>
      </w:r>
    </w:p>
    <w:p w14:paraId="03C4EF73">
      <w:pPr>
        <w:pStyle w:val="23"/>
        <w:spacing w:after="80" w:line="276" w:lineRule="auto"/>
      </w:pPr>
      <w:r>
        <w:t>Designate a backup presenter who remains fully prepared to take over screen control in the event of an unexpected ISP failure.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61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D3748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402</Words>
  <Characters>2852</Characters>
  <Lines>0</Lines>
  <Paragraphs>0</Paragraphs>
  <TotalTime>0</TotalTime>
  <ScaleCrop>false</ScaleCrop>
  <LinksUpToDate>false</LinksUpToDate>
  <CharactersWithSpaces>3213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BE75A01C58824320BAB73D6BF183B0B3_13</vt:lpwstr>
  </property>
</Properties>
</file>