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4"/>
          <w:szCs w:val="44"/>
        </w:rPr>
        <w:t xml:space="preserve">SALES &amp; PROFIT DASHBOARD</w:t>
      </w:r>
    </w:p>
    <w:p>
      <w:pPr>
        <w:spacing w:after="60"/>
        <w:jc w:val="center"/>
      </w:pPr>
      <w:r>
        <w:rPr>
          <w:b/>
          <w:bCs/>
          <w:color w:val="2E74B5"/>
          <w:sz w:val="30"/>
          <w:szCs w:val="30"/>
        </w:rPr>
        <w:t xml:space="preserve">Data Analysis Report</w:t>
      </w:r>
    </w:p>
    <w:p>
      <w:pPr>
        <w:spacing w:after="300"/>
        <w:jc w:val="center"/>
      </w:pPr>
      <w:r>
        <w:rPr>
          <w:i/>
          <w:iCs/>
          <w:color w:val="595959"/>
          <w:sz w:val="21"/>
          <w:szCs w:val="21"/>
        </w:rPr>
        <w:t xml:space="preserve">Reporting Period: 2021 – 2024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Executive Summary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This report presents an analysis of the Sales &amp; Profit Dashboard covering the four-year period from 2021 to 2024. Over this period, the business generated total sales of $1,928,888 and total profit of $247,961, resulting in an overall profit margin of approximately 12.9%. The analysis below examines performance by year, product category, customer segment, geography, and month, and closes with key observations and recommendations.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Total Sales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Total Profit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$1,928,888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$247,961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Yearly Performance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Profit was generated every year across the three product categories — Furniture, Office Supplies, and Technology. Technology and Office Supplies consistently contributed the largest share of annual profit, while Furniture contributed a comparatively small and, in some years, thin margin. Profit peaked in 2023, before contracting somewhat in 2024, suggesting either margin pressure, higher discounting, or a shift in product mix during the final year of the period.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2021 and 2022 show steady, moderate profit levels led by Office Supplies and Technology.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2023 is the strongest year in the four-year window, with the highest combined profit across all three categories.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2024 shows a decline from the 2023 peak, led by a drop in Furniture's already-thin contribution and softer Technology profit.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Furniture's profit contribution is consistently the smallest of the three categories in every year shown, indicating this category runs on thinner margins relative to Office Supplies and Technology.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Sales by Category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Phones and Chairs are the top two revenue-generating product categories, each contributing over $275,000 in sales, followed by Storage, Binders, Tables, and Machines. The distribution of sales narrows sharply toward the bottom of the ranking, following a typical long-tail pattern in which a small number of categories drive the majority of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Sales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Phones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$279,464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Chairs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$277,059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Storage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$190,680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Binders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$169,090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Tables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$167,673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Machines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$166,778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Accessories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$139,242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Copiers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$118,968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Bookcases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$101,388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Appliances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$87,846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Furnishings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$76,223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Paper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$64,530</w:t>
            </w:r>
          </w:p>
        </w:tc>
      </w:tr>
    </w:tbl>
    <w:p>
      <w:pPr>
        <w:spacing w:after="160" w:before="120"/>
      </w:pPr>
      <w:r>
        <w:rPr>
          <w:i/>
          <w:iCs/>
          <w:color w:val="595959"/>
          <w:sz w:val="19"/>
          <w:szCs w:val="19"/>
        </w:rPr>
        <w:t xml:space="preserve">Note: Supplies, Art, Envelopes, Labels, and Fasteners appear further down the same ranking with progressively smaller sales values, completing the long-tail pattern.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Top Customers by Profit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A small group of customers accounts for a disproportionately large share of profit. The top five customers alone contributed $30,763 in profit, led by Tamara Chand at $8,981 — more than double the fifth-ranked customer's contribution.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Rank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Customer</w:t>
            </w:r>
          </w:p>
        </w:tc>
        <w:tc>
          <w:tcPr>
            <w:tcW w:type="dxa" w:w="312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Profit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1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Tamara Chand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$8,981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2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Raymond Buch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$6,939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3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Sanjit Chand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$5,757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4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Adrian Barton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$5,203</w:t>
            </w:r>
          </w:p>
        </w:tc>
      </w:tr>
      <w:tr>
        <w:tc>
          <w:tcPr>
            <w:tcW w:type="dxa" w:w="156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5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Martinez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$3,883</w:t>
            </w:r>
          </w:p>
        </w:tc>
      </w:tr>
    </w:tbl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Sales by State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Geographic performance is heavily concentrated on the West Coast. California is the clear leader among states, with sales of $390,146 — far ahead of the lowest-performing state shown, at just $536. Texas and other large states also show meaningful shading on the map, indicating solid secondary markets, while many smaller states contribute minimally to overall sales.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Sales by Month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Monthly sales show clear seasonality. Sales start relatively low in January and February, dip further in February to the year's lowest point ($60K), then rise sharply in March to $205K. After a mid-year plateau roughly in the $137K–$159K range from April to August, sales dip again in October before climbing to the year's strongest months: September ($220K), November ($234K), and December ($241K), which is the single highest month recorded.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Month</w:t>
            </w:r>
          </w:p>
        </w:tc>
        <w:tc>
          <w:tcPr>
            <w:tcW w:type="dxa" w:w="4680"/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Sales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January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$95K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February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$60K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March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$205K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April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$137K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May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$155K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June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$153K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July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$147K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August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$159K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September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$220K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October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$123K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November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$234K</w:t>
            </w:r>
          </w:p>
        </w:tc>
      </w:tr>
      <w:t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December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$241K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Q1 is volatile — a slow start in January–February followed by a strong March rebound.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Q2–Q3 (Apr–Aug) is comparatively stable, hovering in a mid-range band.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Q4 is the strongest quarter of the year, with November and December setting the two highest monthly totals — a pattern consistent with year-end and holiday-season buying.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Customer Count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The customer base is distributed fairly evenly across the four years shown on the dashboard, with year-on-year counts ranging from roughly 513 to 638 customers, indicating a broadly stable and slightly fluctuating customer acquisition and retention pattern rather than sharp growth or decline.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Key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Revenue is concentrated: Phones and Chairs alone account for roughly 29% of category-level sales, and the top 5 customers contribute far more profit than the long tail of remaining customers.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Profitability lags revenue: an overall profit margin of about 12.9% suggests meaningful costs, discounting, or low-margin categories (particularly Furniture) are eroding profit despite healthy sales.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Strong seasonality: Q4 (Sep, Nov, Dec) consistently outperforms the rest of the year, making it the most important period for revenue planning and inventory readiness.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Geographic concentration: California dominates state-level sales, indicating an opportunity to replicate successful strategies in other high-potential states.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2024 softness: the dip in 2024 profit after the 2023 peak warrants closer investigation into cost, discounting, or category mix changes.</w:t>
      </w:r>
    </w:p>
    <w:p>
      <w:pPr>
        <w:pStyle w:val="Heading1"/>
        <w:pBdr>
          <w:bottom w:val="single" w:color="2E74B5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Recommendations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Investigate Furniture's thin margins and consider pricing, cost, or supplier adjustments to bring its profitability closer to Office Supplies and Technology.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Build inventory and staffing plans around the Q4 demand surge (September, November, December) to avoid stockouts during peak season.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Develop retention and upsell programs targeted at top customers such as Tamara Chand, Raymond Buch, and Sanjit Chand, who already drive outsized profit.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Analyze the drivers behind the 2024 profit decline to determine whether it stems from discounting, cost inflation, or a shift toward lower-margin categories.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color w:val="222222"/>
          <w:sz w:val="22"/>
          <w:szCs w:val="22"/>
        </w:rPr>
        <w:t xml:space="preserve">Explore expansion opportunities in states with currently low sales, using California's performance as a benchmark for what a well-penetrated market looks like.</w:t>
      </w:r>
    </w:p>
    <w:p>
      <w:pPr>
        <w:pBdr>
          <w:top w:val="single" w:color="BFBFBF" w:sz="4" w:space="8"/>
        </w:pBdr>
        <w:spacing w:before="400"/>
      </w:pPr>
      <w:r>
        <w:rPr>
          <w:i/>
          <w:iCs/>
          <w:color w:val="595959"/>
          <w:sz w:val="18"/>
          <w:szCs w:val="18"/>
        </w:rPr>
        <w:t xml:space="preserve">Prepared from the Sales &amp; Profit Dashboard (2021–2024).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2026-09-04T19:32:22.622Z</dcterms:created>
  <dcterms:modified xsi:type="dcterms:W3CDTF">2026-09-04T19:32:22.623Z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