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0B2A6B"/>
          <w:sz w:val="44"/>
          <w:szCs w:val="44"/>
        </w:rPr>
        <w:t xml:space="preserve">SALES DASHBOARD</w:t>
      </w:r>
    </w:p>
    <w:p>
      <w:pPr>
        <w:spacing w:after="60"/>
        <w:jc w:val="center"/>
      </w:pPr>
      <w:r>
        <w:rPr>
          <w:b/>
          <w:bCs/>
          <w:color w:val="C00000"/>
          <w:sz w:val="30"/>
          <w:szCs w:val="30"/>
        </w:rPr>
        <w:t xml:space="preserve">Data Analysis Report</w:t>
      </w:r>
    </w:p>
    <w:p>
      <w:pPr>
        <w:spacing w:after="300"/>
        <w:jc w:val="center"/>
      </w:pPr>
      <w:r>
        <w:rPr>
          <w:i/>
          <w:iCs/>
          <w:color w:val="595959"/>
          <w:sz w:val="20"/>
          <w:szCs w:val="20"/>
        </w:rPr>
        <w:t xml:space="preserve">Supermarket Shop  |  Prepared from Power BI / Excel Sales Dashboard</w:t>
      </w:r>
    </w:p>
    <w:p>
      <w:pPr>
        <w:pStyle w:val="Heading1"/>
        <w:pBdr>
          <w:bottom w:val="single" w:color="0B2A6B" w:sz="8" w:space="4"/>
        </w:pBdr>
        <w:spacing w:after="160" w:before="360"/>
      </w:pPr>
      <w:r>
        <w:rPr>
          <w:b/>
          <w:bCs/>
          <w:color w:val="0B2A6B"/>
          <w:sz w:val="28"/>
          <w:szCs w:val="28"/>
        </w:rPr>
        <w:t xml:space="preserve">1. Executive Summary</w:t>
      </w:r>
    </w:p>
    <w:p>
      <w:pPr>
        <w:spacing w:after="160" w:line="276"/>
      </w:pPr>
      <w:r>
        <w:rPr>
          <w:color w:val="222222"/>
          <w:sz w:val="22"/>
          <w:szCs w:val="22"/>
        </w:rPr>
        <w:t xml:space="preserve">This report presents a data analysis of the Supermarket Shop Sales Dashboard, which tracks sales, profit, product performance, category performance, sales channels, and payment behaviour. The dashboard allows filtering by Year (1900, 2021, 2022) and Month (Jan–Nov and beyond), and provides an interactive view of daily, monthly, product-level, and category-level performance.</w:t>
      </w:r>
    </w:p>
    <w:p>
      <w:pPr>
        <w:spacing w:after="160" w:line="276"/>
      </w:pPr>
      <w:r>
        <w:rPr>
          <w:color w:val="222222"/>
          <w:sz w:val="22"/>
          <w:szCs w:val="22"/>
        </w:rPr>
        <w:t xml:space="preserve">The overall business snapshot shows strong profitability, with a healthy contribution from the wholesale channel and a clear leading product and category driving revenue.</w:t>
      </w:r>
    </w:p>
    <w:p>
      <w:pPr>
        <w:pStyle w:val="Heading1"/>
        <w:pBdr>
          <w:bottom w:val="single" w:color="0B2A6B" w:sz="8" w:space="4"/>
        </w:pBdr>
        <w:spacing w:after="160" w:before="360"/>
      </w:pPr>
      <w:r>
        <w:rPr>
          <w:b/>
          <w:bCs/>
          <w:color w:val="0B2A6B"/>
          <w:sz w:val="28"/>
          <w:szCs w:val="28"/>
        </w:rPr>
        <w:t xml:space="preserve">2. Key Performance Indicators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DCE6F5" w:val="clear"/>
            <w:tcMar>
              <w:top w:type="dxa" w:w="160"/>
              <w:left w:type="dxa" w:w="120"/>
              <w:bottom w:type="dxa" w:w="160"/>
              <w:right w:type="dxa" w:w="120"/>
            </w:tcMar>
            <w:vAlign w:val="center"/>
          </w:tcPr>
          <w:p>
            <w:pPr>
              <w:spacing w:after="60"/>
              <w:jc w:val="center"/>
            </w:pPr>
            <w:r>
              <w:rPr>
                <w:b/>
                <w:bCs/>
                <w:color w:val="0B2A6B"/>
                <w:sz w:val="18"/>
                <w:szCs w:val="18"/>
              </w:rPr>
              <w:t xml:space="preserve">Total Sales</w:t>
            </w:r>
          </w:p>
          <w:p>
            <w:pPr>
              <w:jc w:val="center"/>
            </w:pPr>
            <w:r>
              <w:rPr>
                <w:b/>
                <w:bCs/>
                <w:color w:val="C00000"/>
                <w:sz w:val="30"/>
                <w:szCs w:val="30"/>
              </w:rPr>
              <w:t xml:space="preserve">$40,152</w:t>
            </w:r>
          </w:p>
        </w:tc>
        <w:tc>
          <w:tcPr>
            <w:tcW w:type="dxa" w:w="3120"/>
            <w:shd w:fill="DCE6F5" w:val="clear"/>
            <w:tcMar>
              <w:top w:type="dxa" w:w="160"/>
              <w:left w:type="dxa" w:w="120"/>
              <w:bottom w:type="dxa" w:w="160"/>
              <w:right w:type="dxa" w:w="120"/>
            </w:tcMar>
            <w:vAlign w:val="center"/>
          </w:tcPr>
          <w:p>
            <w:pPr>
              <w:spacing w:after="60"/>
              <w:jc w:val="center"/>
            </w:pPr>
            <w:r>
              <w:rPr>
                <w:b/>
                <w:bCs/>
                <w:color w:val="0B2A6B"/>
                <w:sz w:val="18"/>
                <w:szCs w:val="18"/>
              </w:rPr>
              <w:t xml:space="preserve">Total Profit</w:t>
            </w:r>
          </w:p>
          <w:p>
            <w:pPr>
              <w:jc w:val="center"/>
            </w:pPr>
            <w:r>
              <w:rPr>
                <w:b/>
                <w:bCs/>
                <w:color w:val="C00000"/>
                <w:sz w:val="30"/>
                <w:szCs w:val="30"/>
              </w:rPr>
              <w:t xml:space="preserve">$34,221</w:t>
            </w:r>
          </w:p>
        </w:tc>
        <w:tc>
          <w:tcPr>
            <w:tcW w:type="dxa" w:w="3120"/>
            <w:shd w:fill="DCE6F5" w:val="clear"/>
            <w:tcMar>
              <w:top w:type="dxa" w:w="160"/>
              <w:left w:type="dxa" w:w="120"/>
              <w:bottom w:type="dxa" w:w="160"/>
              <w:right w:type="dxa" w:w="120"/>
            </w:tcMar>
            <w:vAlign w:val="center"/>
          </w:tcPr>
          <w:p>
            <w:pPr>
              <w:spacing w:after="60"/>
              <w:jc w:val="center"/>
            </w:pPr>
            <w:r>
              <w:rPr>
                <w:b/>
                <w:bCs/>
                <w:color w:val="0B2A6B"/>
                <w:sz w:val="18"/>
                <w:szCs w:val="18"/>
              </w:rPr>
              <w:t xml:space="preserve">Profit Margin</w:t>
            </w:r>
          </w:p>
          <w:p>
            <w:pPr>
              <w:jc w:val="center"/>
            </w:pPr>
            <w:r>
              <w:rPr>
                <w:b/>
                <w:bCs/>
                <w:color w:val="C00000"/>
                <w:sz w:val="30"/>
                <w:szCs w:val="30"/>
              </w:rPr>
              <w:t xml:space="preserve">100%*</w:t>
            </w:r>
          </w:p>
        </w:tc>
      </w:tr>
    </w:tbl>
    <w:p>
      <w:pPr>
        <w:spacing w:after="200" w:before="100"/>
      </w:pPr>
      <w:r>
        <w:rPr>
          <w:i/>
          <w:iCs/>
          <w:color w:val="595959"/>
          <w:sz w:val="18"/>
          <w:szCs w:val="18"/>
        </w:rPr>
        <w:t xml:space="preserve">*Note: The dashboard's "Profit %" card displays 100%, which is likely a formatting/measure issue in the source file rather than the true margin, since profit ($34,221) is about 85% of total sales ($40,152). This is worth reviewing in the underlying data model.</w:t>
      </w:r>
    </w:p>
    <w:p>
      <w:pPr>
        <w:pStyle w:val="Heading2"/>
        <w:spacing w:after="120" w:before="260"/>
      </w:pPr>
      <w:r>
        <w:rPr>
          <w:b/>
          <w:bCs/>
          <w:color w:val="C00000"/>
          <w:sz w:val="24"/>
          <w:szCs w:val="24"/>
        </w:rPr>
        <w:t xml:space="preserve">2.1 Interpretation</w:t>
      </w:r>
    </w:p>
    <w:p>
      <w:pPr>
        <w:pStyle w:val="ListParagraph"/>
        <w:numPr>
          <w:ilvl w:val="0"/>
          <w:numId w:val="2"/>
        </w:numPr>
        <w:spacing w:after="90"/>
      </w:pPr>
      <w:r>
        <w:rPr>
          <w:color w:val="222222"/>
          <w:sz w:val="22"/>
          <w:szCs w:val="22"/>
        </w:rPr>
        <w:t xml:space="preserve">Profit-to-Sales ratio: Actual profit represents roughly 85% of total sales value, which is a very strong margin for a supermarket retail operation.</w:t>
      </w:r>
    </w:p>
    <w:p>
      <w:pPr>
        <w:pStyle w:val="ListParagraph"/>
        <w:numPr>
          <w:ilvl w:val="0"/>
          <w:numId w:val="2"/>
        </w:numPr>
        <w:spacing w:after="90"/>
      </w:pPr>
      <w:r>
        <w:rPr>
          <w:color w:val="222222"/>
          <w:sz w:val="22"/>
          <w:szCs w:val="22"/>
        </w:rPr>
        <w:t xml:space="preserve">This suggests either a highly efficient cost structure or that the "profit" figure in the dataset may be closer to gross margin/markup rather than net profit — recommended to verify the underlying calculation.</w:t>
      </w:r>
    </w:p>
    <w:p>
      <w:pPr>
        <w:pStyle w:val="Heading1"/>
        <w:pBdr>
          <w:bottom w:val="single" w:color="0B2A6B" w:sz="8" w:space="4"/>
        </w:pBdr>
        <w:spacing w:after="160" w:before="360"/>
      </w:pPr>
      <w:r>
        <w:rPr>
          <w:b/>
          <w:bCs/>
          <w:color w:val="0B2A6B"/>
          <w:sz w:val="28"/>
          <w:szCs w:val="28"/>
        </w:rPr>
        <w:t xml:space="preserve">3. Top Performers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0B2A6B" w:val="clear"/>
            <w:tcMar>
              <w:top w:type="dxa" w:w="100"/>
              <w:left w:type="dxa" w:w="120"/>
              <w:bottom w:type="dxa" w:w="100"/>
              <w:right w:type="dxa" w:w="120"/>
            </w:tcMar>
            <w:vAlign w:val="center"/>
          </w:tcPr>
          <w:p>
            <w:pPr>
              <w:jc w:val="center"/>
            </w:pPr>
            <w:r>
              <w:rPr>
                <w:b/>
                <w:bCs/>
                <w:color w:val="FFFFFF"/>
                <w:sz w:val="20"/>
                <w:szCs w:val="20"/>
              </w:rPr>
              <w:t xml:space="preserve">Metric</w:t>
            </w:r>
          </w:p>
        </w:tc>
        <w:tc>
          <w:tcPr>
            <w:tcW w:type="dxa" w:w="3120"/>
            <w:shd w:fill="0B2A6B" w:val="clear"/>
            <w:tcMar>
              <w:top w:type="dxa" w:w="100"/>
              <w:left w:type="dxa" w:w="120"/>
              <w:bottom w:type="dxa" w:w="100"/>
              <w:right w:type="dxa" w:w="120"/>
            </w:tcMar>
            <w:vAlign w:val="center"/>
          </w:tcPr>
          <w:p>
            <w:pPr>
              <w:jc w:val="center"/>
            </w:pPr>
            <w:r>
              <w:rPr>
                <w:b/>
                <w:bCs/>
                <w:color w:val="FFFFFF"/>
                <w:sz w:val="20"/>
                <w:szCs w:val="20"/>
              </w:rPr>
              <w:t xml:space="preserve">Top Performer</w:t>
            </w:r>
          </w:p>
        </w:tc>
        <w:tc>
          <w:tcPr>
            <w:tcW w:type="dxa" w:w="3120"/>
            <w:shd w:fill="0B2A6B" w:val="clear"/>
            <w:tcMar>
              <w:top w:type="dxa" w:w="100"/>
              <w:left w:type="dxa" w:w="120"/>
              <w:bottom w:type="dxa" w:w="100"/>
              <w:right w:type="dxa" w:w="120"/>
            </w:tcMar>
            <w:vAlign w:val="center"/>
          </w:tcPr>
          <w:p>
            <w:pPr>
              <w:jc w:val="center"/>
            </w:pPr>
            <w:r>
              <w:rPr>
                <w:b/>
                <w:bCs/>
                <w:color w:val="FFFFFF"/>
                <w:sz w:val="20"/>
                <w:szCs w:val="20"/>
              </w:rPr>
              <w:t xml:space="preserve">Value</w:t>
            </w:r>
          </w:p>
        </w:tc>
      </w:tr>
      <w:tr>
        <w:tc>
          <w:tcPr>
            <w:tcW w:type="dxa" w:w="3120"/>
            <w:shd w:fill="F2F2F2" w:val="clear"/>
            <w:tcMar>
              <w:top w:type="dxa" w:w="90"/>
              <w:left w:type="dxa" w:w="120"/>
              <w:bottom w:type="dxa" w:w="90"/>
              <w:right w:type="dxa" w:w="120"/>
            </w:tcMar>
            <w:vAlign w:val="center"/>
          </w:tcPr>
          <w:p>
            <w:pPr>
              <w:jc w:val="left"/>
            </w:pPr>
            <w:r>
              <w:rPr>
                <w:color w:val="222222"/>
                <w:sz w:val="20"/>
                <w:szCs w:val="20"/>
              </w:rPr>
              <w:t xml:space="preserve">Top Product</w:t>
            </w:r>
          </w:p>
        </w:tc>
        <w:tc>
          <w:tcPr>
            <w:tcW w:type="dxa" w:w="3120"/>
            <w:shd w:fill="F2F2F2" w:val="clear"/>
            <w:tcMar>
              <w:top w:type="dxa" w:w="90"/>
              <w:left w:type="dxa" w:w="120"/>
              <w:bottom w:type="dxa" w:w="90"/>
              <w:right w:type="dxa" w:w="120"/>
            </w:tcMar>
            <w:vAlign w:val="center"/>
          </w:tcPr>
          <w:p>
            <w:pPr>
              <w:jc w:val="center"/>
            </w:pPr>
            <w:r>
              <w:rPr>
                <w:color w:val="222222"/>
                <w:sz w:val="20"/>
                <w:szCs w:val="20"/>
              </w:rPr>
              <w:t xml:space="preserve">Product 36</w:t>
            </w:r>
          </w:p>
        </w:tc>
        <w:tc>
          <w:tcPr>
            <w:tcW w:type="dxa" w:w="3120"/>
            <w:shd w:fill="F2F2F2" w:val="clear"/>
            <w:tcMar>
              <w:top w:type="dxa" w:w="90"/>
              <w:left w:type="dxa" w:w="120"/>
              <w:bottom w:type="dxa" w:w="90"/>
              <w:right w:type="dxa" w:w="120"/>
            </w:tcMar>
            <w:vAlign w:val="center"/>
          </w:tcPr>
          <w:p>
            <w:pPr>
              <w:jc w:val="center"/>
            </w:pPr>
            <w:r>
              <w:rPr>
                <w:color w:val="222222"/>
                <w:sz w:val="20"/>
                <w:szCs w:val="20"/>
              </w:rPr>
              <w:t xml:space="preserve">31 Litres sold  |  $4,409 revenue</w:t>
            </w:r>
          </w:p>
        </w:tc>
      </w:tr>
      <w:tr>
        <w:tc>
          <w:tcPr>
            <w:tcW w:type="dxa" w:w="3120"/>
            <w:shd w:fill="FFFFFF" w:val="clear"/>
            <w:tcMar>
              <w:top w:type="dxa" w:w="90"/>
              <w:left w:type="dxa" w:w="120"/>
              <w:bottom w:type="dxa" w:w="90"/>
              <w:right w:type="dxa" w:w="120"/>
            </w:tcMar>
            <w:vAlign w:val="center"/>
          </w:tcPr>
          <w:p>
            <w:pPr>
              <w:jc w:val="left"/>
            </w:pPr>
            <w:r>
              <w:rPr>
                <w:color w:val="222222"/>
                <w:sz w:val="20"/>
                <w:szCs w:val="20"/>
              </w:rPr>
              <w:t xml:space="preserve">Top Category</w:t>
            </w:r>
          </w:p>
        </w:tc>
        <w:tc>
          <w:tcPr>
            <w:tcW w:type="dxa" w:w="3120"/>
            <w:shd w:fill="FFFFFF" w:val="clear"/>
            <w:tcMar>
              <w:top w:type="dxa" w:w="90"/>
              <w:left w:type="dxa" w:w="120"/>
              <w:bottom w:type="dxa" w:w="90"/>
              <w:right w:type="dxa" w:w="120"/>
            </w:tcMar>
            <w:vAlign w:val="center"/>
          </w:tcPr>
          <w:p>
            <w:pPr>
              <w:jc w:val="center"/>
            </w:pPr>
            <w:r>
              <w:rPr>
                <w:color w:val="222222"/>
                <w:sz w:val="20"/>
                <w:szCs w:val="20"/>
              </w:rPr>
              <w:t xml:space="preserve">Category 04</w:t>
            </w:r>
          </w:p>
        </w:tc>
        <w:tc>
          <w:tcPr>
            <w:tcW w:type="dxa" w:w="3120"/>
            <w:shd w:fill="FFFFFF" w:val="clear"/>
            <w:tcMar>
              <w:top w:type="dxa" w:w="90"/>
              <w:left w:type="dxa" w:w="120"/>
              <w:bottom w:type="dxa" w:w="90"/>
              <w:right w:type="dxa" w:w="120"/>
            </w:tcMar>
            <w:vAlign w:val="center"/>
          </w:tcPr>
          <w:p>
            <w:pPr>
              <w:jc w:val="center"/>
            </w:pPr>
            <w:r>
              <w:rPr>
                <w:color w:val="222222"/>
                <w:sz w:val="20"/>
                <w:szCs w:val="20"/>
              </w:rPr>
              <w:t xml:space="preserve">$12,089 revenue</w:t>
            </w:r>
          </w:p>
        </w:tc>
      </w:tr>
    </w:tbl>
    <w:p>
      <w:pPr>
        <w:spacing w:after="160" w:before="200"/>
      </w:pPr>
    </w:p>
    <w:p>
      <w:pPr>
        <w:spacing w:after="160" w:line="276"/>
      </w:pPr>
      <w:r>
        <w:rPr>
          <w:color w:val="222222"/>
          <w:sz w:val="22"/>
          <w:szCs w:val="22"/>
        </w:rPr>
        <w:t xml:space="preserve">Product 36 is the single best-selling item on the dashboard, contributing about 11% of total sales value on its own. Category 04 is the strongest overall category, generating just under one third of total category revenue.</w:t>
      </w:r>
    </w:p>
    <w:p>
      <w:pPr>
        <w:pStyle w:val="Heading1"/>
        <w:pBdr>
          <w:bottom w:val="single" w:color="0B2A6B" w:sz="8" w:space="4"/>
        </w:pBdr>
        <w:spacing w:after="160" w:before="360"/>
      </w:pPr>
      <w:r>
        <w:rPr>
          <w:b/>
          <w:bCs/>
          <w:color w:val="0B2A6B"/>
          <w:sz w:val="28"/>
          <w:szCs w:val="28"/>
        </w:rPr>
        <w:t xml:space="preserve">4. Category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0B2A6B" w:val="clear"/>
            <w:tcMar>
              <w:top w:type="dxa" w:w="100"/>
              <w:left w:type="dxa" w:w="120"/>
              <w:bottom w:type="dxa" w:w="100"/>
              <w:right w:type="dxa" w:w="120"/>
            </w:tcMar>
            <w:vAlign w:val="center"/>
          </w:tcPr>
          <w:p>
            <w:pPr>
              <w:jc w:val="center"/>
            </w:pPr>
            <w:r>
              <w:rPr>
                <w:b/>
                <w:bCs/>
                <w:color w:val="FFFFFF"/>
                <w:sz w:val="20"/>
                <w:szCs w:val="20"/>
              </w:rPr>
              <w:t xml:space="preserve">Category</w:t>
            </w:r>
          </w:p>
        </w:tc>
        <w:tc>
          <w:tcPr>
            <w:tcW w:type="dxa" w:w="4680"/>
            <w:shd w:fill="0B2A6B" w:val="clear"/>
            <w:tcMar>
              <w:top w:type="dxa" w:w="100"/>
              <w:left w:type="dxa" w:w="120"/>
              <w:bottom w:type="dxa" w:w="100"/>
              <w:right w:type="dxa" w:w="120"/>
            </w:tcMar>
            <w:vAlign w:val="center"/>
          </w:tcPr>
          <w:p>
            <w:pPr>
              <w:jc w:val="center"/>
            </w:pPr>
            <w:r>
              <w:rPr>
                <w:b/>
                <w:bCs/>
                <w:color w:val="FFFFFF"/>
                <w:sz w:val="20"/>
                <w:szCs w:val="20"/>
              </w:rPr>
              <w:t xml:space="preserve">Revenue</w:t>
            </w:r>
          </w:p>
        </w:tc>
      </w:tr>
      <w:tr>
        <w:tc>
          <w:tcPr>
            <w:tcW w:type="dxa" w:w="4680"/>
            <w:shd w:fill="F2F2F2" w:val="clear"/>
            <w:tcMar>
              <w:top w:type="dxa" w:w="90"/>
              <w:left w:type="dxa" w:w="120"/>
              <w:bottom w:type="dxa" w:w="90"/>
              <w:right w:type="dxa" w:w="120"/>
            </w:tcMar>
            <w:vAlign w:val="center"/>
          </w:tcPr>
          <w:p>
            <w:pPr>
              <w:jc w:val="left"/>
            </w:pPr>
            <w:r>
              <w:rPr>
                <w:color w:val="222222"/>
                <w:sz w:val="20"/>
                <w:szCs w:val="20"/>
              </w:rPr>
              <w:t xml:space="preserve">Category 04</w:t>
            </w:r>
          </w:p>
        </w:tc>
        <w:tc>
          <w:tcPr>
            <w:tcW w:type="dxa" w:w="4680"/>
            <w:shd w:fill="F2F2F2" w:val="clear"/>
            <w:tcMar>
              <w:top w:type="dxa" w:w="90"/>
              <w:left w:type="dxa" w:w="120"/>
              <w:bottom w:type="dxa" w:w="90"/>
              <w:right w:type="dxa" w:w="120"/>
            </w:tcMar>
            <w:vAlign w:val="center"/>
          </w:tcPr>
          <w:p>
            <w:pPr>
              <w:jc w:val="center"/>
            </w:pPr>
            <w:r>
              <w:rPr>
                <w:color w:val="222222"/>
                <w:sz w:val="20"/>
                <w:szCs w:val="20"/>
              </w:rPr>
              <w:t xml:space="preserve">$12,088.74</w:t>
            </w:r>
          </w:p>
        </w:tc>
      </w:tr>
      <w:tr>
        <w:tc>
          <w:tcPr>
            <w:tcW w:type="dxa" w:w="4680"/>
            <w:shd w:fill="FFFFFF" w:val="clear"/>
            <w:tcMar>
              <w:top w:type="dxa" w:w="90"/>
              <w:left w:type="dxa" w:w="120"/>
              <w:bottom w:type="dxa" w:w="90"/>
              <w:right w:type="dxa" w:w="120"/>
            </w:tcMar>
            <w:vAlign w:val="center"/>
          </w:tcPr>
          <w:p>
            <w:pPr>
              <w:jc w:val="left"/>
            </w:pPr>
            <w:r>
              <w:rPr>
                <w:color w:val="222222"/>
                <w:sz w:val="20"/>
                <w:szCs w:val="20"/>
              </w:rPr>
              <w:t xml:space="preserve">Category 01</w:t>
            </w:r>
          </w:p>
        </w:tc>
        <w:tc>
          <w:tcPr>
            <w:tcW w:type="dxa" w:w="4680"/>
            <w:shd w:fill="FFFFFF" w:val="clear"/>
            <w:tcMar>
              <w:top w:type="dxa" w:w="90"/>
              <w:left w:type="dxa" w:w="120"/>
              <w:bottom w:type="dxa" w:w="90"/>
              <w:right w:type="dxa" w:w="120"/>
            </w:tcMar>
            <w:vAlign w:val="center"/>
          </w:tcPr>
          <w:p>
            <w:pPr>
              <w:jc w:val="center"/>
            </w:pPr>
            <w:r>
              <w:rPr>
                <w:color w:val="222222"/>
                <w:sz w:val="20"/>
                <w:szCs w:val="20"/>
              </w:rPr>
              <w:t xml:space="preserve">$9,861.16</w:t>
            </w:r>
          </w:p>
        </w:tc>
      </w:tr>
      <w:tr>
        <w:tc>
          <w:tcPr>
            <w:tcW w:type="dxa" w:w="4680"/>
            <w:shd w:fill="F2F2F2" w:val="clear"/>
            <w:tcMar>
              <w:top w:type="dxa" w:w="90"/>
              <w:left w:type="dxa" w:w="120"/>
              <w:bottom w:type="dxa" w:w="90"/>
              <w:right w:type="dxa" w:w="120"/>
            </w:tcMar>
            <w:vAlign w:val="center"/>
          </w:tcPr>
          <w:p>
            <w:pPr>
              <w:jc w:val="left"/>
            </w:pPr>
            <w:r>
              <w:rPr>
                <w:color w:val="222222"/>
                <w:sz w:val="20"/>
                <w:szCs w:val="20"/>
              </w:rPr>
              <w:t xml:space="preserve">Category 03</w:t>
            </w:r>
          </w:p>
        </w:tc>
        <w:tc>
          <w:tcPr>
            <w:tcW w:type="dxa" w:w="4680"/>
            <w:shd w:fill="F2F2F2" w:val="clear"/>
            <w:tcMar>
              <w:top w:type="dxa" w:w="90"/>
              <w:left w:type="dxa" w:w="120"/>
              <w:bottom w:type="dxa" w:w="90"/>
              <w:right w:type="dxa" w:w="120"/>
            </w:tcMar>
            <w:vAlign w:val="center"/>
          </w:tcPr>
          <w:p>
            <w:pPr>
              <w:jc w:val="center"/>
            </w:pPr>
            <w:r>
              <w:rPr>
                <w:color w:val="222222"/>
                <w:sz w:val="20"/>
                <w:szCs w:val="20"/>
              </w:rPr>
              <w:t xml:space="preserve">$9,549.71</w:t>
            </w:r>
          </w:p>
        </w:tc>
      </w:tr>
      <w:tr>
        <w:tc>
          <w:tcPr>
            <w:tcW w:type="dxa" w:w="4680"/>
            <w:shd w:fill="FFFFFF" w:val="clear"/>
            <w:tcMar>
              <w:top w:type="dxa" w:w="90"/>
              <w:left w:type="dxa" w:w="120"/>
              <w:bottom w:type="dxa" w:w="90"/>
              <w:right w:type="dxa" w:w="120"/>
            </w:tcMar>
            <w:vAlign w:val="center"/>
          </w:tcPr>
          <w:p>
            <w:pPr>
              <w:jc w:val="left"/>
            </w:pPr>
            <w:r>
              <w:rPr>
                <w:color w:val="222222"/>
                <w:sz w:val="20"/>
                <w:szCs w:val="20"/>
              </w:rPr>
              <w:t xml:space="preserve">Category 02</w:t>
            </w:r>
          </w:p>
        </w:tc>
        <w:tc>
          <w:tcPr>
            <w:tcW w:type="dxa" w:w="4680"/>
            <w:shd w:fill="FFFFFF" w:val="clear"/>
            <w:tcMar>
              <w:top w:type="dxa" w:w="90"/>
              <w:left w:type="dxa" w:w="120"/>
              <w:bottom w:type="dxa" w:w="90"/>
              <w:right w:type="dxa" w:w="120"/>
            </w:tcMar>
            <w:vAlign w:val="center"/>
          </w:tcPr>
          <w:p>
            <w:pPr>
              <w:jc w:val="center"/>
            </w:pPr>
            <w:r>
              <w:rPr>
                <w:color w:val="222222"/>
                <w:sz w:val="20"/>
                <w:szCs w:val="20"/>
              </w:rPr>
              <w:t xml:space="preserve">$8,642.xx (partially visible on source dashboard)</w:t>
            </w:r>
          </w:p>
        </w:tc>
      </w:tr>
    </w:tbl>
    <w:p>
      <w:pPr>
        <w:spacing w:after="0" w:before="200"/>
      </w:pPr>
    </w:p>
    <w:p>
      <w:pPr>
        <w:spacing w:after="160" w:line="276"/>
      </w:pPr>
      <w:r>
        <w:rPr>
          <w:color w:val="222222"/>
          <w:sz w:val="22"/>
          <w:szCs w:val="22"/>
        </w:rPr>
        <w:t xml:space="preserve">Category performance is fairly balanced across the four categories, with Category 04 leading and Category 02 trailing slightly. The spread between the highest and lowest category is relatively narrow (roughly $3,400–$3,500), indicating a diversified product mix rather than dependence on a single category.</w:t>
      </w:r>
    </w:p>
    <w:p>
      <w:pPr>
        <w:pStyle w:val="Heading1"/>
        <w:pBdr>
          <w:bottom w:val="single" w:color="0B2A6B" w:sz="8" w:space="4"/>
        </w:pBdr>
        <w:spacing w:after="160" w:before="360"/>
      </w:pPr>
      <w:r>
        <w:rPr>
          <w:b/>
          <w:bCs/>
          <w:color w:val="0B2A6B"/>
          <w:sz w:val="28"/>
          <w:szCs w:val="28"/>
        </w:rPr>
        <w:t xml:space="preserve">5. Sales Channel &amp; Payment Analysis</w:t>
      </w:r>
    </w:p>
    <w:p>
      <w:pPr>
        <w:pStyle w:val="Heading2"/>
        <w:spacing w:after="120" w:before="260"/>
      </w:pPr>
      <w:r>
        <w:rPr>
          <w:b/>
          <w:bCs/>
          <w:color w:val="C00000"/>
          <w:sz w:val="24"/>
          <w:szCs w:val="24"/>
        </w:rPr>
        <w:t xml:space="preserve">5.1 Sales Type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0B2A6B" w:val="clear"/>
            <w:tcMar>
              <w:top w:type="dxa" w:w="100"/>
              <w:left w:type="dxa" w:w="120"/>
              <w:bottom w:type="dxa" w:w="100"/>
              <w:right w:type="dxa" w:w="120"/>
            </w:tcMar>
            <w:vAlign w:val="center"/>
          </w:tcPr>
          <w:p>
            <w:pPr>
              <w:jc w:val="center"/>
            </w:pPr>
            <w:r>
              <w:rPr>
                <w:b/>
                <w:bCs/>
                <w:color w:val="FFFFFF"/>
                <w:sz w:val="20"/>
                <w:szCs w:val="20"/>
              </w:rPr>
              <w:t xml:space="preserve">Sales Type</w:t>
            </w:r>
          </w:p>
        </w:tc>
        <w:tc>
          <w:tcPr>
            <w:tcW w:type="dxa" w:w="4680"/>
            <w:shd w:fill="0B2A6B" w:val="clear"/>
            <w:tcMar>
              <w:top w:type="dxa" w:w="100"/>
              <w:left w:type="dxa" w:w="120"/>
              <w:bottom w:type="dxa" w:w="100"/>
              <w:right w:type="dxa" w:w="120"/>
            </w:tcMar>
            <w:vAlign w:val="center"/>
          </w:tcPr>
          <w:p>
            <w:pPr>
              <w:jc w:val="center"/>
            </w:pPr>
            <w:r>
              <w:rPr>
                <w:b/>
                <w:bCs/>
                <w:color w:val="FFFFFF"/>
                <w:sz w:val="20"/>
                <w:szCs w:val="20"/>
              </w:rPr>
              <w:t xml:space="preserve">Share of Sales</w:t>
            </w:r>
          </w:p>
        </w:tc>
      </w:tr>
      <w:tr>
        <w:tc>
          <w:tcPr>
            <w:tcW w:type="dxa" w:w="4680"/>
            <w:shd w:fill="F2F2F2" w:val="clear"/>
            <w:tcMar>
              <w:top w:type="dxa" w:w="90"/>
              <w:left w:type="dxa" w:w="120"/>
              <w:bottom w:type="dxa" w:w="90"/>
              <w:right w:type="dxa" w:w="120"/>
            </w:tcMar>
            <w:vAlign w:val="center"/>
          </w:tcPr>
          <w:p>
            <w:pPr>
              <w:jc w:val="left"/>
            </w:pPr>
            <w:r>
              <w:rPr>
                <w:color w:val="222222"/>
                <w:sz w:val="20"/>
                <w:szCs w:val="20"/>
              </w:rPr>
              <w:t xml:space="preserve">Wholesaler</w:t>
            </w:r>
          </w:p>
        </w:tc>
        <w:tc>
          <w:tcPr>
            <w:tcW w:type="dxa" w:w="4680"/>
            <w:shd w:fill="F2F2F2" w:val="clear"/>
            <w:tcMar>
              <w:top w:type="dxa" w:w="90"/>
              <w:left w:type="dxa" w:w="120"/>
              <w:bottom w:type="dxa" w:w="90"/>
              <w:right w:type="dxa" w:w="120"/>
            </w:tcMar>
            <w:vAlign w:val="center"/>
          </w:tcPr>
          <w:p>
            <w:pPr>
              <w:jc w:val="center"/>
            </w:pPr>
            <w:r>
              <w:rPr>
                <w:color w:val="222222"/>
                <w:sz w:val="20"/>
                <w:szCs w:val="20"/>
              </w:rPr>
              <w:t xml:space="preserve">40%</w:t>
            </w:r>
          </w:p>
        </w:tc>
      </w:tr>
      <w:tr>
        <w:tc>
          <w:tcPr>
            <w:tcW w:type="dxa" w:w="4680"/>
            <w:shd w:fill="FFFFFF" w:val="clear"/>
            <w:tcMar>
              <w:top w:type="dxa" w:w="90"/>
              <w:left w:type="dxa" w:w="120"/>
              <w:bottom w:type="dxa" w:w="90"/>
              <w:right w:type="dxa" w:w="120"/>
            </w:tcMar>
            <w:vAlign w:val="center"/>
          </w:tcPr>
          <w:p>
            <w:pPr>
              <w:jc w:val="left"/>
            </w:pPr>
            <w:r>
              <w:rPr>
                <w:color w:val="222222"/>
                <w:sz w:val="20"/>
                <w:szCs w:val="20"/>
              </w:rPr>
              <w:t xml:space="preserve">Direct Sales</w:t>
            </w:r>
          </w:p>
        </w:tc>
        <w:tc>
          <w:tcPr>
            <w:tcW w:type="dxa" w:w="4680"/>
            <w:shd w:fill="FFFFFF" w:val="clear"/>
            <w:tcMar>
              <w:top w:type="dxa" w:w="90"/>
              <w:left w:type="dxa" w:w="120"/>
              <w:bottom w:type="dxa" w:w="90"/>
              <w:right w:type="dxa" w:w="120"/>
            </w:tcMar>
            <w:vAlign w:val="center"/>
          </w:tcPr>
          <w:p>
            <w:pPr>
              <w:jc w:val="center"/>
            </w:pPr>
            <w:r>
              <w:rPr>
                <w:color w:val="222222"/>
                <w:sz w:val="20"/>
                <w:szCs w:val="20"/>
              </w:rPr>
              <w:t xml:space="preserve">31%</w:t>
            </w:r>
          </w:p>
        </w:tc>
      </w:tr>
      <w:tr>
        <w:tc>
          <w:tcPr>
            <w:tcW w:type="dxa" w:w="4680"/>
            <w:shd w:fill="F2F2F2" w:val="clear"/>
            <w:tcMar>
              <w:top w:type="dxa" w:w="90"/>
              <w:left w:type="dxa" w:w="120"/>
              <w:bottom w:type="dxa" w:w="90"/>
              <w:right w:type="dxa" w:w="120"/>
            </w:tcMar>
            <w:vAlign w:val="center"/>
          </w:tcPr>
          <w:p>
            <w:pPr>
              <w:jc w:val="left"/>
            </w:pPr>
            <w:r>
              <w:rPr>
                <w:color w:val="222222"/>
                <w:sz w:val="20"/>
                <w:szCs w:val="20"/>
              </w:rPr>
              <w:t xml:space="preserve">Online</w:t>
            </w:r>
          </w:p>
        </w:tc>
        <w:tc>
          <w:tcPr>
            <w:tcW w:type="dxa" w:w="4680"/>
            <w:shd w:fill="F2F2F2" w:val="clear"/>
            <w:tcMar>
              <w:top w:type="dxa" w:w="90"/>
              <w:left w:type="dxa" w:w="120"/>
              <w:bottom w:type="dxa" w:w="90"/>
              <w:right w:type="dxa" w:w="120"/>
            </w:tcMar>
            <w:vAlign w:val="center"/>
          </w:tcPr>
          <w:p>
            <w:pPr>
              <w:jc w:val="center"/>
            </w:pPr>
            <w:r>
              <w:rPr>
                <w:color w:val="222222"/>
                <w:sz w:val="20"/>
                <w:szCs w:val="20"/>
              </w:rPr>
              <w:t xml:space="preserve">29%</w:t>
            </w:r>
          </w:p>
        </w:tc>
      </w:tr>
    </w:tbl>
    <w:p>
      <w:pPr>
        <w:spacing w:after="160" w:before="160"/>
      </w:pPr>
    </w:p>
    <w:p>
      <w:pPr>
        <w:spacing w:after="160" w:line="276"/>
      </w:pPr>
      <w:r>
        <w:rPr>
          <w:color w:val="222222"/>
          <w:sz w:val="22"/>
          <w:szCs w:val="22"/>
        </w:rPr>
        <w:t xml:space="preserve">Wholesale is the leading sales channel at 40% of transactions, followed closely by Direct Sales (31%) and Online (29%). The near-even split between all three channels indicates the business has a diversified, omni-channel sales strategy rather than reliance on a single route to market.</w:t>
      </w:r>
    </w:p>
    <w:p>
      <w:pPr>
        <w:pStyle w:val="Heading2"/>
        <w:spacing w:after="120" w:before="260"/>
      </w:pPr>
      <w:r>
        <w:rPr>
          <w:b/>
          <w:bCs/>
          <w:color w:val="C00000"/>
          <w:sz w:val="24"/>
          <w:szCs w:val="24"/>
        </w:rPr>
        <w:t xml:space="preserve">5.2 Payment Mode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0B2A6B" w:val="clear"/>
            <w:tcMar>
              <w:top w:type="dxa" w:w="100"/>
              <w:left w:type="dxa" w:w="120"/>
              <w:bottom w:type="dxa" w:w="100"/>
              <w:right w:type="dxa" w:w="120"/>
            </w:tcMar>
            <w:vAlign w:val="center"/>
          </w:tcPr>
          <w:p>
            <w:pPr>
              <w:jc w:val="center"/>
            </w:pPr>
            <w:r>
              <w:rPr>
                <w:b/>
                <w:bCs/>
                <w:color w:val="FFFFFF"/>
                <w:sz w:val="20"/>
                <w:szCs w:val="20"/>
              </w:rPr>
              <w:t xml:space="preserve">Payment Mode</w:t>
            </w:r>
          </w:p>
        </w:tc>
        <w:tc>
          <w:tcPr>
            <w:tcW w:type="dxa" w:w="4680"/>
            <w:shd w:fill="0B2A6B" w:val="clear"/>
            <w:tcMar>
              <w:top w:type="dxa" w:w="100"/>
              <w:left w:type="dxa" w:w="120"/>
              <w:bottom w:type="dxa" w:w="100"/>
              <w:right w:type="dxa" w:w="120"/>
            </w:tcMar>
            <w:vAlign w:val="center"/>
          </w:tcPr>
          <w:p>
            <w:pPr>
              <w:jc w:val="center"/>
            </w:pPr>
            <w:r>
              <w:rPr>
                <w:b/>
                <w:bCs/>
                <w:color w:val="FFFFFF"/>
                <w:sz w:val="20"/>
                <w:szCs w:val="20"/>
              </w:rPr>
              <w:t xml:space="preserve">Share of Transactions</w:t>
            </w:r>
          </w:p>
        </w:tc>
      </w:tr>
      <w:tr>
        <w:tc>
          <w:tcPr>
            <w:tcW w:type="dxa" w:w="4680"/>
            <w:shd w:fill="F2F2F2" w:val="clear"/>
            <w:tcMar>
              <w:top w:type="dxa" w:w="90"/>
              <w:left w:type="dxa" w:w="120"/>
              <w:bottom w:type="dxa" w:w="90"/>
              <w:right w:type="dxa" w:w="120"/>
            </w:tcMar>
            <w:vAlign w:val="center"/>
          </w:tcPr>
          <w:p>
            <w:pPr>
              <w:jc w:val="left"/>
            </w:pPr>
            <w:r>
              <w:rPr>
                <w:color w:val="222222"/>
                <w:sz w:val="20"/>
                <w:szCs w:val="20"/>
              </w:rPr>
              <w:t xml:space="preserve">Online Payment</w:t>
            </w:r>
          </w:p>
        </w:tc>
        <w:tc>
          <w:tcPr>
            <w:tcW w:type="dxa" w:w="4680"/>
            <w:shd w:fill="F2F2F2" w:val="clear"/>
            <w:tcMar>
              <w:top w:type="dxa" w:w="90"/>
              <w:left w:type="dxa" w:w="120"/>
              <w:bottom w:type="dxa" w:w="90"/>
              <w:right w:type="dxa" w:w="120"/>
            </w:tcMar>
            <w:vAlign w:val="center"/>
          </w:tcPr>
          <w:p>
            <w:pPr>
              <w:jc w:val="center"/>
            </w:pPr>
            <w:r>
              <w:rPr>
                <w:color w:val="222222"/>
                <w:sz w:val="20"/>
                <w:szCs w:val="20"/>
              </w:rPr>
              <w:t xml:space="preserve">68%</w:t>
            </w:r>
          </w:p>
        </w:tc>
      </w:tr>
      <w:tr>
        <w:tc>
          <w:tcPr>
            <w:tcW w:type="dxa" w:w="4680"/>
            <w:shd w:fill="FFFFFF" w:val="clear"/>
            <w:tcMar>
              <w:top w:type="dxa" w:w="90"/>
              <w:left w:type="dxa" w:w="120"/>
              <w:bottom w:type="dxa" w:w="90"/>
              <w:right w:type="dxa" w:w="120"/>
            </w:tcMar>
            <w:vAlign w:val="center"/>
          </w:tcPr>
          <w:p>
            <w:pPr>
              <w:jc w:val="left"/>
            </w:pPr>
            <w:r>
              <w:rPr>
                <w:color w:val="222222"/>
                <w:sz w:val="20"/>
                <w:szCs w:val="20"/>
              </w:rPr>
              <w:t xml:space="preserve">Cash</w:t>
            </w:r>
          </w:p>
        </w:tc>
        <w:tc>
          <w:tcPr>
            <w:tcW w:type="dxa" w:w="4680"/>
            <w:shd w:fill="FFFFFF" w:val="clear"/>
            <w:tcMar>
              <w:top w:type="dxa" w:w="90"/>
              <w:left w:type="dxa" w:w="120"/>
              <w:bottom w:type="dxa" w:w="90"/>
              <w:right w:type="dxa" w:w="120"/>
            </w:tcMar>
            <w:vAlign w:val="center"/>
          </w:tcPr>
          <w:p>
            <w:pPr>
              <w:jc w:val="center"/>
            </w:pPr>
            <w:r>
              <w:rPr>
                <w:color w:val="222222"/>
                <w:sz w:val="20"/>
                <w:szCs w:val="20"/>
              </w:rPr>
              <w:t xml:space="preserve">32%</w:t>
            </w:r>
          </w:p>
        </w:tc>
      </w:tr>
    </w:tbl>
    <w:p>
      <w:pPr>
        <w:spacing w:after="160" w:before="160"/>
      </w:pPr>
    </w:p>
    <w:p>
      <w:pPr>
        <w:spacing w:after="160" w:line="276"/>
      </w:pPr>
      <w:r>
        <w:rPr>
          <w:color w:val="222222"/>
          <w:sz w:val="22"/>
          <w:szCs w:val="22"/>
        </w:rPr>
        <w:t xml:space="preserve">The majority of customers (68%) pay via online/digital methods, with only 32% using cash. This points to a customer base that is comfortable with digital payments, which can support faster reconciliation and lower cash-handling overhead.</w:t>
      </w:r>
    </w:p>
    <w:p>
      <w:pPr>
        <w:pStyle w:val="Heading1"/>
        <w:pBdr>
          <w:bottom w:val="single" w:color="0B2A6B" w:sz="8" w:space="4"/>
        </w:pBdr>
        <w:spacing w:after="160" w:before="360"/>
      </w:pPr>
      <w:r>
        <w:rPr>
          <w:b/>
          <w:bCs/>
          <w:color w:val="0B2A6B"/>
          <w:sz w:val="28"/>
          <w:szCs w:val="28"/>
        </w:rPr>
        <w:t xml:space="preserve">6. Trend Analysis</w:t>
      </w:r>
    </w:p>
    <w:p>
      <w:pPr>
        <w:pStyle w:val="Heading2"/>
        <w:spacing w:after="120" w:before="260"/>
      </w:pPr>
      <w:r>
        <w:rPr>
          <w:b/>
          <w:bCs/>
          <w:color w:val="C00000"/>
          <w:sz w:val="24"/>
          <w:szCs w:val="24"/>
        </w:rPr>
        <w:t xml:space="preserve">6.1 Monthly Trend</w:t>
      </w:r>
    </w:p>
    <w:p>
      <w:pPr>
        <w:spacing w:after="160" w:line="276"/>
      </w:pPr>
      <w:r>
        <w:rPr>
          <w:color w:val="222222"/>
          <w:sz w:val="22"/>
          <w:szCs w:val="22"/>
        </w:rPr>
        <w:t xml:space="preserve">The Monthly panel compares Sales and Profit using a bar chart with growth indicators of +10% (Sales) and +22% (Profit) for the selected period. Profit is growing faster than sales, which is a positive signal — it suggests improving cost efficiency or a shift toward higher-margin products rather than simply higher sales volume.</w:t>
      </w:r>
    </w:p>
    <w:p>
      <w:pPr>
        <w:pStyle w:val="Heading2"/>
        <w:spacing w:after="120" w:before="260"/>
      </w:pPr>
      <w:r>
        <w:rPr>
          <w:b/>
          <w:bCs/>
          <w:color w:val="C00000"/>
          <w:sz w:val="24"/>
          <w:szCs w:val="24"/>
        </w:rPr>
        <w:t xml:space="preserve">6.2 Daily Trend</w:t>
      </w:r>
    </w:p>
    <w:p>
      <w:pPr>
        <w:spacing w:after="160" w:line="276"/>
      </w:pPr>
      <w:r>
        <w:rPr>
          <w:color w:val="222222"/>
          <w:sz w:val="22"/>
          <w:szCs w:val="22"/>
        </w:rPr>
        <w:t xml:space="preserve">The Daily panel shows a fluctuating area/line chart of sales ranging from near $0 up to a peak of roughly $3,500–$4,000 on the strongest days. The pattern shows several sharp peaks and dips across the days of the month rather than a steady, consistent daily volume, suggesting sales are concentrated around specific high-traffic days (e.g., weekends or promotional days) rather than being evenly distributed.</w:t>
      </w:r>
    </w:p>
    <w:p>
      <w:pPr>
        <w:pStyle w:val="Heading2"/>
        <w:spacing w:after="120" w:before="260"/>
      </w:pPr>
      <w:r>
        <w:rPr>
          <w:b/>
          <w:bCs/>
          <w:color w:val="C00000"/>
          <w:sz w:val="24"/>
          <w:szCs w:val="24"/>
        </w:rPr>
        <w:t xml:space="preserve">6.3 Product-wise Ranking</w:t>
      </w:r>
    </w:p>
    <w:p>
      <w:pPr>
        <w:spacing w:after="160" w:line="276"/>
      </w:pPr>
      <w:r>
        <w:rPr>
          <w:color w:val="222222"/>
          <w:sz w:val="22"/>
          <w:szCs w:val="22"/>
        </w:rPr>
        <w:t xml:space="preserve">The Product panel ranks products 1 through 10 by a performance measure (likely quantity or revenue), using a horizontal bar chart. There is a clear leader at rank 10 and a long tail of lower-performing products toward rank 1, which is typical of retail assortments where a small number of SKUs drive a disproportionate share of results (a Pareto-style distribution).</w:t>
      </w:r>
    </w:p>
    <w:p>
      <w:pPr>
        <w:pStyle w:val="Heading1"/>
        <w:pBdr>
          <w:bottom w:val="single" w:color="0B2A6B" w:sz="8" w:space="4"/>
        </w:pBdr>
        <w:spacing w:after="160" w:before="360"/>
      </w:pPr>
      <w:r>
        <w:rPr>
          <w:b/>
          <w:bCs/>
          <w:color w:val="0B2A6B"/>
          <w:sz w:val="28"/>
          <w:szCs w:val="28"/>
        </w:rPr>
        <w:t xml:space="preserve">7. Observations &amp; Recommendations</w:t>
      </w:r>
    </w:p>
    <w:p>
      <w:pPr>
        <w:pStyle w:val="ListParagraph"/>
        <w:numPr>
          <w:ilvl w:val="0"/>
          <w:numId w:val="2"/>
        </w:numPr>
        <w:spacing w:after="90"/>
      </w:pPr>
      <w:r>
        <w:rPr>
          <w:color w:val="222222"/>
          <w:sz w:val="22"/>
          <w:szCs w:val="22"/>
        </w:rPr>
        <w:t xml:space="preserve">Verify the Profit % calculation: the dashboard currently displays 100%, which does not match the computed ratio of Profit to Sales (~85%). This should be corrected in the source measure/formula for accurate reporting.</w:t>
      </w:r>
    </w:p>
    <w:p>
      <w:pPr>
        <w:pStyle w:val="ListParagraph"/>
        <w:numPr>
          <w:ilvl w:val="0"/>
          <w:numId w:val="2"/>
        </w:numPr>
        <w:spacing w:after="90"/>
      </w:pPr>
      <w:r>
        <w:rPr>
          <w:color w:val="222222"/>
          <w:sz w:val="22"/>
          <w:szCs w:val="22"/>
        </w:rPr>
        <w:t xml:space="preserve">Double down on wholesale: since Wholesale already leads at 40% of sales, consider targeted offers or bulk pricing to grow this channel further.</w:t>
      </w:r>
    </w:p>
    <w:p>
      <w:pPr>
        <w:pStyle w:val="ListParagraph"/>
        <w:numPr>
          <w:ilvl w:val="0"/>
          <w:numId w:val="2"/>
        </w:numPr>
        <w:spacing w:after="90"/>
      </w:pPr>
      <w:r>
        <w:rPr>
          <w:color w:val="222222"/>
          <w:sz w:val="22"/>
          <w:szCs w:val="22"/>
        </w:rPr>
        <w:t xml:space="preserve">Investigate daily peaks: identify what drives the highest-performing days (promotions, paydays, weekends) and replicate those conditions more frequently.</w:t>
      </w:r>
    </w:p>
    <w:p>
      <w:pPr>
        <w:pStyle w:val="ListParagraph"/>
        <w:numPr>
          <w:ilvl w:val="0"/>
          <w:numId w:val="2"/>
        </w:numPr>
        <w:spacing w:after="90"/>
      </w:pPr>
      <w:r>
        <w:rPr>
          <w:color w:val="222222"/>
          <w:sz w:val="22"/>
          <w:szCs w:val="22"/>
        </w:rPr>
        <w:t xml:space="preserve">Support Product 36 and Category 04: ensure strong stock availability for the top product and top category to avoid lost sales during high-demand periods.</w:t>
      </w:r>
    </w:p>
    <w:p>
      <w:pPr>
        <w:pStyle w:val="ListParagraph"/>
        <w:numPr>
          <w:ilvl w:val="0"/>
          <w:numId w:val="2"/>
        </w:numPr>
        <w:spacing w:after="90"/>
      </w:pPr>
      <w:r>
        <w:rPr>
          <w:color w:val="222222"/>
          <w:sz w:val="22"/>
          <w:szCs w:val="22"/>
        </w:rPr>
        <w:t xml:space="preserve">Encourage digital payments further: with 68% of customers already paying online, consider incentives (loyalty points, small discounts) to convert the remaining 32% cash users, reducing cash-handling costs.</w:t>
      </w:r>
    </w:p>
    <w:p>
      <w:pPr>
        <w:pStyle w:val="ListParagraph"/>
        <w:numPr>
          <w:ilvl w:val="0"/>
          <w:numId w:val="2"/>
        </w:numPr>
        <w:spacing w:after="90"/>
      </w:pPr>
      <w:r>
        <w:rPr>
          <w:color w:val="222222"/>
          <w:sz w:val="22"/>
          <w:szCs w:val="22"/>
        </w:rPr>
        <w:t xml:space="preserve">Review long-tail products: low-ranked products in the Product panel may need promotional support, bundling, or discontinuation review.</w:t>
      </w:r>
    </w:p>
    <w:p>
      <w:pPr>
        <w:pStyle w:val="Heading1"/>
        <w:pBdr>
          <w:bottom w:val="single" w:color="0B2A6B" w:sz="8" w:space="4"/>
        </w:pBdr>
        <w:spacing w:after="160" w:before="360"/>
      </w:pPr>
      <w:r>
        <w:rPr>
          <w:b/>
          <w:bCs/>
          <w:color w:val="0B2A6B"/>
          <w:sz w:val="28"/>
          <w:szCs w:val="28"/>
        </w:rPr>
        <w:t xml:space="preserve">8. Conclusion</w:t>
      </w:r>
    </w:p>
    <w:p>
      <w:pPr>
        <w:spacing w:after="160" w:line="276"/>
      </w:pPr>
      <w:r>
        <w:rPr>
          <w:color w:val="222222"/>
          <w:sz w:val="22"/>
          <w:szCs w:val="22"/>
        </w:rPr>
        <w:t xml:space="preserve">The Supermarket Shop is performing well overall, with total sales of $40,152 and strong profitability. The business benefits from a diversified sales channel mix, a digitally-engaged customer base, and a clear set of top-performing products and categories. The main action items are to validate the profit percentage calculation and to build on the momentum of the wholesale channel and top category while monitoring daily sales fluctuations for optimization opportunities.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595959"/>
        <w:sz w:val="16"/>
        <w:szCs w:val="16"/>
      </w:rPr>
      <w:t xml:space="preserve">Supermarket Shop — Sales Dashboard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2026-09-04T19:11:13.273Z</dcterms:created>
  <dcterms:modified xsi:type="dcterms:W3CDTF">2026-09-04T19:11:13.285Z</dcterms:modified>
</cp:coreProperties>
</file>

<file path=docProps/custom.xml><?xml version="1.0" encoding="utf-8"?>
<Properties xmlns="http://schemas.openxmlformats.org/officeDocument/2006/custom-properties" xmlns:vt="http://schemas.openxmlformats.org/officeDocument/2006/docPropsVTypes"/>
</file>