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GuideTitle"/>
        <w:jc w:val="center"/>
      </w:pPr>
      <w:r>
        <w:t>FedEx Shipping Plugin for WooCommerce Support Guide</w:t>
      </w:r>
    </w:p>
    <w:p>
      <w:pPr>
        <w:pStyle w:val="GuideBody"/>
        <w:jc w:val="center"/>
      </w:pPr>
      <w:r>
        <w:rPr>
          <w:i/>
        </w:rPr>
        <w:t>FedEx Release - v8.4.0 | Generated June 16,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Release Lane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FedEx Release - v8.4.0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Plugin Version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v8.4.0</w:t>
            </w:r>
          </w:p>
        </w:tc>
      </w:tr>
      <w:tr>
        <w:tc>
          <w:tcPr>
            <w:tcW w:type="dxa" w:w="5040"/>
            <w:shd w:fill="DCE6F2"/>
          </w:tcPr>
          <w:p>
            <w:r>
              <w:rPr>
                <w:rFonts w:ascii="Arial" w:hAnsi="Arial"/>
                <w:b/>
                <w:sz w:val="20"/>
              </w:rPr>
              <w:t>Primary Audience</w:t>
            </w:r>
          </w:p>
        </w:tc>
        <w:tc>
          <w:tcPr>
            <w:tcW w:type="dxa" w:w="5040"/>
          </w:tcPr>
          <w:p>
            <w:r>
              <w:rPr>
                <w:rFonts w:ascii="Arial" w:hAnsi="Arial"/>
                <w:sz w:val="20"/>
              </w:rPr>
              <w:t>Customer support, QA, and implementation teams</w:t>
            </w:r>
          </w:p>
        </w:tc>
      </w:tr>
    </w:tbl>
    <w:p/>
    <w:p>
      <w:pPr>
        <w:pStyle w:val="GuideHeading"/>
      </w:pPr>
      <w:r>
        <w:t>Release Summary</w:t>
      </w:r>
    </w:p>
    <w:p>
      <w:pPr>
        <w:pStyle w:val="ListBullet"/>
      </w:pPr>
      <w:r>
        <w:rPr>
          <w:rFonts w:ascii="Arial" w:hAnsi="Arial"/>
          <w:sz w:val="21"/>
        </w:rPr>
        <w:t>This release expands customs and invoice controls for international shipping, especially around tax identifiers, importer details, commercial invoice fields, and currency handling.</w:t>
      </w:r>
    </w:p>
    <w:p/>
    <w:p>
      <w:pPr>
        <w:pStyle w:val="GuideHeading"/>
      </w:pPr>
      <w:r>
        <w:t>Included Release Items</w:t>
      </w:r>
    </w:p>
    <w:p>
      <w:pPr>
        <w:pStyle w:val="ListBullet"/>
      </w:pPr>
      <w:r>
        <w:rPr>
          <w:rFonts w:ascii="Arial" w:hAnsi="Arial"/>
          <w:sz w:val="21"/>
        </w:rPr>
        <w:t>Added an option to use the order currency for customs and declared value on individual orders, with the setting now available under Advanced settings.</w:t>
      </w:r>
    </w:p>
    <w:p>
      <w:pPr>
        <w:pStyle w:val="ListBullet"/>
      </w:pPr>
      <w:r>
        <w:rPr>
          <w:rFonts w:ascii="Arial" w:hAnsi="Arial"/>
          <w:sz w:val="21"/>
        </w:rPr>
        <w:t>Consignee / Billing Tax ID at Checkout — collect customer VAT/EORI/TIN</w:t>
      </w:r>
    </w:p>
    <w:p>
      <w:pPr>
        <w:pStyle w:val="ListBullet"/>
      </w:pPr>
      <w:r>
        <w:rPr>
          <w:rFonts w:ascii="Arial" w:hAnsi="Arial"/>
          <w:sz w:val="21"/>
        </w:rPr>
        <w:t>Importer of Record for International Shipments</w:t>
      </w:r>
    </w:p>
    <w:p>
      <w:pPr>
        <w:pStyle w:val="ListBullet"/>
      </w:pPr>
      <w:r>
        <w:rPr>
          <w:rFonts w:ascii="Arial" w:hAnsi="Arial"/>
          <w:sz w:val="21"/>
        </w:rPr>
        <w:t>Order-Level Commercial Invoice Fields — Purpose, Comments &amp; Special Instructions</w:t>
      </w:r>
    </w:p>
    <w:p>
      <w:pPr>
        <w:pStyle w:val="ListBullet"/>
      </w:pPr>
      <w:r>
        <w:rPr>
          <w:rFonts w:ascii="Arial" w:hAnsi="Arial"/>
          <w:sz w:val="21"/>
        </w:rPr>
        <w:t>Currency Conversion Rounding Causing Declared Value to Exceed Customs Value</w:t>
      </w:r>
    </w:p>
    <w:p/>
    <w:p>
      <w:pPr>
        <w:pStyle w:val="GuideHeading"/>
      </w:pPr>
      <w:r>
        <w:t>What Changed</w:t>
      </w:r>
    </w:p>
    <w:p>
      <w:pPr>
        <w:pStyle w:val="ListBullet"/>
      </w:pPr>
      <w:r>
        <w:rPr>
          <w:rFonts w:ascii="Arial" w:hAnsi="Arial"/>
          <w:sz w:val="21"/>
        </w:rPr>
        <w:t>A new advanced option allows order currency to be used for customs and declared-value handling on individual orders.</w:t>
      </w:r>
    </w:p>
    <w:p>
      <w:pPr>
        <w:pStyle w:val="ListBullet"/>
      </w:pPr>
      <w:r>
        <w:rPr>
          <w:rFonts w:ascii="Arial" w:hAnsi="Arial"/>
          <w:sz w:val="21"/>
        </w:rPr>
        <w:t>Checkout can now collect consignee or billing tax identifiers such as VAT, EORI, or TIN when merchants need them for compliance workflows.</w:t>
      </w:r>
    </w:p>
    <w:p>
      <w:pPr>
        <w:pStyle w:val="ListBullet"/>
      </w:pPr>
      <w:r>
        <w:rPr>
          <w:rFonts w:ascii="Arial" w:hAnsi="Arial"/>
          <w:sz w:val="21"/>
        </w:rPr>
        <w:t>Importer-of-record handling was added for international shipments that require a distinct importing party.</w:t>
      </w:r>
    </w:p>
    <w:p>
      <w:pPr>
        <w:pStyle w:val="ListBullet"/>
      </w:pPr>
      <w:r>
        <w:rPr>
          <w:rFonts w:ascii="Arial" w:hAnsi="Arial"/>
          <w:sz w:val="21"/>
        </w:rPr>
        <w:t>Order-level commercial invoice fields now support purpose, comments, and special instructions.</w:t>
      </w:r>
    </w:p>
    <w:p>
      <w:pPr>
        <w:pStyle w:val="ListBullet"/>
      </w:pPr>
      <w:r>
        <w:rPr>
          <w:rFonts w:ascii="Arial" w:hAnsi="Arial"/>
          <w:sz w:val="21"/>
        </w:rPr>
        <w:t>Currency-conversion rounding was corrected so declared value does not exceed customs value because of conversion math.</w:t>
      </w:r>
    </w:p>
    <w:p/>
    <w:p>
      <w:pPr>
        <w:pStyle w:val="GuideHeading"/>
      </w:pPr>
      <w:r>
        <w:t>Customer Impact</w:t>
      </w:r>
    </w:p>
    <w:p>
      <w:pPr>
        <w:pStyle w:val="ListBullet"/>
      </w:pPr>
      <w:r>
        <w:rPr>
          <w:rFonts w:ascii="Arial" w:hAnsi="Arial"/>
          <w:sz w:val="21"/>
        </w:rPr>
        <w:t>International merchants should have more complete customs data available before label generation.</w:t>
      </w:r>
    </w:p>
    <w:p>
      <w:pPr>
        <w:pStyle w:val="ListBullet"/>
      </w:pPr>
      <w:r>
        <w:rPr>
          <w:rFonts w:ascii="Arial" w:hAnsi="Arial"/>
          <w:sz w:val="21"/>
        </w:rPr>
        <w:t>Stores shipping across borders may see fewer manual edits to invoice and customs details.</w:t>
      </w:r>
    </w:p>
    <w:p>
      <w:pPr>
        <w:pStyle w:val="ListBullet"/>
      </w:pPr>
      <w:r>
        <w:rPr>
          <w:rFonts w:ascii="Arial" w:hAnsi="Arial"/>
          <w:sz w:val="21"/>
        </w:rPr>
        <w:t>Merchants using different order currencies should see more consistent declared/customs values.</w:t>
      </w:r>
    </w:p>
    <w:p/>
    <w:p>
      <w:pPr>
        <w:pStyle w:val="GuideHeading"/>
      </w:pPr>
      <w:r>
        <w:t>Support Talking Points</w:t>
      </w:r>
    </w:p>
    <w:p>
      <w:pPr>
        <w:pStyle w:val="ListBullet"/>
      </w:pPr>
      <w:r>
        <w:rPr>
          <w:rFonts w:ascii="Arial" w:hAnsi="Arial"/>
          <w:sz w:val="21"/>
        </w:rPr>
        <w:t>If a merchant wants customs amounts to follow order currency, direct them to the new advanced setting and confirm the order-level expectation.</w:t>
      </w:r>
    </w:p>
    <w:p>
      <w:pPr>
        <w:pStyle w:val="ListBullet"/>
      </w:pPr>
      <w:r>
        <w:rPr>
          <w:rFonts w:ascii="Arial" w:hAnsi="Arial"/>
          <w:sz w:val="21"/>
        </w:rPr>
        <w:t>If a merchant asks where to collect VAT, EORI, or TIN, explain that checkout support now exists for consignee or billing tax IDs.</w:t>
      </w:r>
    </w:p>
    <w:p>
      <w:pPr>
        <w:pStyle w:val="ListBullet"/>
      </w:pPr>
      <w:r>
        <w:rPr>
          <w:rFonts w:ascii="Arial" w:hAnsi="Arial"/>
          <w:sz w:val="21"/>
        </w:rPr>
        <w:t>If customs paperwork requires an importer different from shipper or recipient, verify whether Importer of Record is now configured.</w:t>
      </w:r>
    </w:p>
    <w:p>
      <w:pPr>
        <w:pStyle w:val="ListBullet"/>
      </w:pPr>
      <w:r>
        <w:rPr>
          <w:rFonts w:ascii="Arial" w:hAnsi="Arial"/>
          <w:sz w:val="21"/>
        </w:rPr>
        <w:t>If merchants ask for more invoice context, point them to the order-level commercial invoice fields for purpose, comments, and special instructions.</w:t>
      </w:r>
    </w:p>
    <w:p>
      <w:pPr>
        <w:pStyle w:val="ListBullet"/>
      </w:pPr>
      <w:r>
        <w:rPr>
          <w:rFonts w:ascii="Arial" w:hAnsi="Arial"/>
          <w:sz w:val="21"/>
        </w:rPr>
        <w:t>If declared value previously exceeded customs value by a small amount, note that rounding behavior was corrected in this release.</w:t>
      </w:r>
    </w:p>
    <w:p/>
    <w:p>
      <w:pPr>
        <w:pStyle w:val="GuideHeading"/>
      </w:pPr>
      <w:r>
        <w:t>How Support Can Verify The Release</w:t>
      </w:r>
    </w:p>
    <w:p>
      <w:pPr>
        <w:pStyle w:val="ListBullet"/>
      </w:pPr>
      <w:r>
        <w:rPr>
          <w:rFonts w:ascii="Arial" w:hAnsi="Arial"/>
          <w:sz w:val="21"/>
        </w:rPr>
        <w:t>Place an international test order in a non-default order currency and confirm customs/declared values follow the configured behavior.</w:t>
      </w:r>
    </w:p>
    <w:p>
      <w:pPr>
        <w:pStyle w:val="ListBullet"/>
      </w:pPr>
      <w:r>
        <w:rPr>
          <w:rFonts w:ascii="Arial" w:hAnsi="Arial"/>
          <w:sz w:val="21"/>
        </w:rPr>
        <w:t>Confirm tax-ID fields can be collected and passed when a checkout flow requires VAT, EORI, or TIN.</w:t>
      </w:r>
    </w:p>
    <w:p>
      <w:pPr>
        <w:pStyle w:val="ListBullet"/>
      </w:pPr>
      <w:r>
        <w:rPr>
          <w:rFonts w:ascii="Arial" w:hAnsi="Arial"/>
          <w:sz w:val="21"/>
        </w:rPr>
        <w:t>Create an international shipment that uses Importer of Record and verify the related details appear in the shipping workflow.</w:t>
      </w:r>
    </w:p>
    <w:p>
      <w:pPr>
        <w:pStyle w:val="ListBullet"/>
      </w:pPr>
      <w:r>
        <w:rPr>
          <w:rFonts w:ascii="Arial" w:hAnsi="Arial"/>
          <w:sz w:val="21"/>
        </w:rPr>
        <w:t>Populate purpose, comments, and special instructions on an order and verify they appear in the commercial invoice flow.</w:t>
      </w:r>
    </w:p>
    <w:p>
      <w:pPr>
        <w:pStyle w:val="ListBullet"/>
      </w:pPr>
      <w:r>
        <w:rPr>
          <w:rFonts w:ascii="Arial" w:hAnsi="Arial"/>
          <w:sz w:val="21"/>
        </w:rPr>
        <w:t>Check a currency-conversion case that previously over-rounded declared value and confirm the values now stay aligned.</w:t>
      </w:r>
    </w:p>
    <w:p/>
    <w:p>
      <w:pPr>
        <w:pStyle w:val="GuideHeading"/>
      </w:pPr>
      <w:r>
        <w:t>Expected Scenarios</w:t>
      </w:r>
    </w:p>
    <w:p>
      <w:pPr>
        <w:pStyle w:val="ListBullet"/>
      </w:pPr>
      <w:r>
        <w:rPr>
          <w:rFonts w:ascii="Arial" w:hAnsi="Arial"/>
          <w:sz w:val="21"/>
        </w:rPr>
        <w:t>A merchant ships internationally and needs customs values in the same currency as the order.</w:t>
      </w:r>
    </w:p>
    <w:p>
      <w:pPr>
        <w:pStyle w:val="ListBullet"/>
      </w:pPr>
      <w:r>
        <w:rPr>
          <w:rFonts w:ascii="Arial" w:hAnsi="Arial"/>
          <w:sz w:val="21"/>
        </w:rPr>
        <w:t>A store must collect customer tax IDs for regulatory or clearance requirements.</w:t>
      </w:r>
    </w:p>
    <w:p>
      <w:pPr>
        <w:pStyle w:val="ListBullet"/>
      </w:pPr>
      <w:r>
        <w:rPr>
          <w:rFonts w:ascii="Arial" w:hAnsi="Arial"/>
          <w:sz w:val="21"/>
        </w:rPr>
        <w:t>An importer is legally different from the shipper or receiver on the order.</w:t>
      </w:r>
    </w:p>
    <w:p>
      <w:pPr>
        <w:pStyle w:val="ListBullet"/>
      </w:pPr>
      <w:r>
        <w:rPr>
          <w:rFonts w:ascii="Arial" w:hAnsi="Arial"/>
          <w:sz w:val="21"/>
        </w:rPr>
        <w:t>The merchant needs shipment-specific invoice instructions beyond default product data.</w:t>
      </w:r>
    </w:p>
    <w:p/>
    <w:p>
      <w:pPr>
        <w:pStyle w:val="GuideHeading"/>
      </w:pPr>
      <w:r>
        <w:t>Escalation Guidance</w:t>
      </w:r>
    </w:p>
    <w:p>
      <w:pPr>
        <w:pStyle w:val="ListBullet"/>
      </w:pPr>
      <w:r>
        <w:rPr>
          <w:rFonts w:ascii="Arial" w:hAnsi="Arial"/>
          <w:sz w:val="21"/>
        </w:rPr>
        <w:t>Escalate if customs values still exceed expected limits after confirming currency settings.</w:t>
      </w:r>
    </w:p>
    <w:p>
      <w:pPr>
        <w:pStyle w:val="ListBullet"/>
      </w:pPr>
      <w:r>
        <w:rPr>
          <w:rFonts w:ascii="Arial" w:hAnsi="Arial"/>
          <w:sz w:val="21"/>
        </w:rPr>
        <w:t>Escalate if tax-ID data is collected at checkout but does not reach the shipment workflow.</w:t>
      </w:r>
    </w:p>
    <w:p>
      <w:pPr>
        <w:pStyle w:val="ListBullet"/>
      </w:pPr>
      <w:r>
        <w:rPr>
          <w:rFonts w:ascii="Arial" w:hAnsi="Arial"/>
          <w:sz w:val="21"/>
        </w:rPr>
        <w:t>Escalate if Importer of Record or invoice fields fail to appear on the generated documentation.</w:t>
      </w:r>
    </w:p>
    <w:p/>
    <w:p>
      <w:pPr>
        <w:pStyle w:val="GuideHeading"/>
      </w:pPr>
      <w:r>
        <w:t>Internal References</w:t>
      </w:r>
    </w:p>
    <w:p>
      <w:pPr>
        <w:pStyle w:val="ListBullet"/>
      </w:pPr>
      <w:r>
        <w:rPr>
          <w:rFonts w:ascii="Arial" w:hAnsi="Arial"/>
          <w:sz w:val="21"/>
        </w:rPr>
        <w:t>Release lane: FedEx Release - v8.4.0</w:t>
      </w:r>
    </w:p>
    <w:p>
      <w:pPr>
        <w:pStyle w:val="ListBullet"/>
      </w:pPr>
      <w:r>
        <w:rPr>
          <w:rFonts w:ascii="Arial" w:hAnsi="Arial"/>
          <w:sz w:val="21"/>
        </w:rPr>
        <w:t>Source cards: order currency for customs and declared value; Consignee / Billing Tax ID; Importer of Record; Order-Level Commercial Invoice Fields; Currency Conversion Rounding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Title">
    <w:name w:val="Guide Title"/>
    <w:rPr>
      <w:rFonts w:ascii="Arial" w:hAnsi="Arial"/>
      <w:b/>
      <w:color w:val="182D54"/>
      <w:sz w:val="44"/>
    </w:rPr>
  </w:style>
  <w:style w:type="paragraph" w:customStyle="1" w:styleId="GuideHeading">
    <w:name w:val="Guide Heading"/>
    <w:rPr>
      <w:rFonts w:ascii="Arial" w:hAnsi="Arial"/>
      <w:b/>
      <w:color w:val="182D54"/>
      <w:sz w:val="26"/>
    </w:rPr>
  </w:style>
  <w:style w:type="paragraph" w:customStyle="1" w:styleId="GuideBody">
    <w:name w:val="Guide Body"/>
    <w:rPr>
      <w:rFonts w:ascii="Arial" w:hAnsi="Arial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