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B8" w:rsidRDefault="00666152" w:rsidP="00321EB8">
      <w:pPr>
        <w:rPr>
          <w:szCs w:val="24"/>
        </w:rPr>
      </w:pPr>
      <w:r>
        <w:rPr>
          <w:noProof/>
          <w:szCs w:val="24"/>
        </w:rPr>
        <w:pict>
          <v:roundrect id="_x0000_s1067" style="position:absolute;margin-left:-3.55pt;margin-top:-10.1pt;width:189.55pt;height:37.15pt;z-index:251663360" arcsize="10923f" fillcolor="#9bbb59 [3206]" strokecolor="#4e6128 [1606]" strokeweight="3pt">
            <v:fill rotate="t"/>
            <v:stroke r:id="rId8" o:title="" filltype="pattern"/>
            <v:shadow on="t" type="perspective" color="#76923c [2406]" opacity=".5" origin=",.5" offset="0,0" matrix=",-56756f,,.5"/>
            <v:textbox style="mso-next-textbox:#_x0000_s1067">
              <w:txbxContent>
                <w:p w:rsidR="003A62D1" w:rsidRPr="00E608DC" w:rsidRDefault="003A62D1" w:rsidP="003A62D1">
                  <w:pPr>
                    <w:pStyle w:val="ListParagraph"/>
                    <w:numPr>
                      <w:ilvl w:val="0"/>
                      <w:numId w:val="14"/>
                    </w:numPr>
                    <w:ind w:left="360"/>
                    <w:jc w:val="center"/>
                    <w:rPr>
                      <w:rFonts w:ascii="Book Antiqua" w:hAnsi="Book Antiqua"/>
                      <w:b/>
                      <w:color w:val="FFFFFF" w:themeColor="background1"/>
                      <w:sz w:val="36"/>
                      <w:szCs w:val="32"/>
                    </w:rPr>
                  </w:pPr>
                  <w:r>
                    <w:rPr>
                      <w:rFonts w:ascii="Book Antiqua" w:hAnsi="Book Antiqua"/>
                      <w:b/>
                      <w:color w:val="FFFFFF" w:themeColor="background1"/>
                      <w:sz w:val="36"/>
                      <w:szCs w:val="32"/>
                    </w:rPr>
                    <w:t>System Planning</w:t>
                  </w:r>
                </w:p>
                <w:p w:rsidR="003A62D1" w:rsidRPr="00E608DC" w:rsidRDefault="003A62D1" w:rsidP="003A62D1">
                  <w:pPr>
                    <w:rPr>
                      <w:szCs w:val="36"/>
                    </w:rPr>
                  </w:pPr>
                </w:p>
              </w:txbxContent>
            </v:textbox>
          </v:roundrect>
        </w:pict>
      </w:r>
    </w:p>
    <w:p w:rsidR="00321EB8" w:rsidRDefault="00666152" w:rsidP="00321EB8">
      <w:pPr>
        <w:rPr>
          <w:szCs w:val="24"/>
        </w:rPr>
      </w:pPr>
      <w:r>
        <w:rPr>
          <w:noProof/>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5" type="#_x0000_t176" style="position:absolute;margin-left:36pt;margin-top:13.2pt;width:184.5pt;height:30.9pt;z-index:251662336" fillcolor="#c0504d [3205]" strokecolor="#d99594 [1941]" strokeweight="3pt">
            <v:stroke r:id="rId9" o:title="" color2="white [3212]" filltype="pattern"/>
            <v:shadow on="t" type="perspective" color="#d99594 [1941]" opacity=".5" origin=",.5" offset="0,0" matrix=",-56756f,,.5"/>
            <v:textbox style="mso-next-textbox:#_x0000_s1065">
              <w:txbxContent>
                <w:p w:rsidR="00321EB8" w:rsidRPr="004B27D7" w:rsidRDefault="00321EB8" w:rsidP="00321EB8">
                  <w:pPr>
                    <w:pStyle w:val="ListParagraph"/>
                    <w:numPr>
                      <w:ilvl w:val="0"/>
                      <w:numId w:val="16"/>
                    </w:numPr>
                    <w:tabs>
                      <w:tab w:val="left" w:pos="900"/>
                    </w:tabs>
                    <w:ind w:left="630" w:hanging="540"/>
                    <w:jc w:val="center"/>
                    <w:rPr>
                      <w:b/>
                      <w:szCs w:val="32"/>
                    </w:rPr>
                  </w:pPr>
                  <w:r w:rsidRPr="004B27D7">
                    <w:rPr>
                      <w:rFonts w:ascii="Book Antiqua" w:hAnsi="Book Antiqua"/>
                      <w:b/>
                      <w:color w:val="FFFFFF" w:themeColor="background1"/>
                      <w:sz w:val="32"/>
                      <w:szCs w:val="32"/>
                    </w:rPr>
                    <w:t>Feasibility Study</w:t>
                  </w:r>
                </w:p>
              </w:txbxContent>
            </v:textbox>
          </v:shape>
        </w:pict>
      </w:r>
    </w:p>
    <w:p w:rsidR="00321EB8" w:rsidRDefault="00321EB8" w:rsidP="00321EB8">
      <w:pPr>
        <w:rPr>
          <w:szCs w:val="24"/>
        </w:rPr>
      </w:pPr>
    </w:p>
    <w:p w:rsidR="00321EB8" w:rsidRPr="009A1F37" w:rsidRDefault="00321EB8" w:rsidP="009A1F37">
      <w:pPr>
        <w:pStyle w:val="ListParagraph"/>
        <w:numPr>
          <w:ilvl w:val="0"/>
          <w:numId w:val="17"/>
        </w:numPr>
        <w:spacing w:before="100" w:beforeAutospacing="1" w:after="100" w:afterAutospacing="1"/>
        <w:ind w:hanging="540"/>
        <w:rPr>
          <w:rFonts w:eastAsia="Times New Roman"/>
        </w:rPr>
      </w:pPr>
      <w:r w:rsidRPr="009A1F37">
        <w:rPr>
          <w:rFonts w:eastAsia="Times New Roman"/>
        </w:rPr>
        <w:t>Determine the feasibility of w</w:t>
      </w:r>
      <w:r w:rsidR="00B04793">
        <w:rPr>
          <w:rFonts w:eastAsia="Times New Roman"/>
        </w:rPr>
        <w:t>riting web application using ASP.NET and SQL SERVER</w:t>
      </w:r>
      <w:r w:rsidRPr="009A1F37">
        <w:rPr>
          <w:rFonts w:eastAsia="Times New Roman"/>
        </w:rPr>
        <w:t>.</w:t>
      </w:r>
    </w:p>
    <w:p w:rsidR="00321EB8" w:rsidRPr="009A1F37" w:rsidRDefault="00321EB8" w:rsidP="009A1F37">
      <w:pPr>
        <w:pStyle w:val="ListParagraph"/>
        <w:numPr>
          <w:ilvl w:val="0"/>
          <w:numId w:val="18"/>
        </w:numPr>
        <w:spacing w:before="100" w:beforeAutospacing="1" w:after="100" w:afterAutospacing="1"/>
        <w:ind w:hanging="540"/>
        <w:rPr>
          <w:rFonts w:eastAsia="Times New Roman"/>
        </w:rPr>
      </w:pPr>
      <w:r w:rsidRPr="009A1F37">
        <w:rPr>
          <w:rFonts w:eastAsia="Times New Roman"/>
        </w:rPr>
        <w:t xml:space="preserve">Build a near "real-world" proof of concept application to test feasibility and to give some proof to the reader that it is at least possible in some scenarios. </w:t>
      </w:r>
    </w:p>
    <w:p w:rsidR="00321EB8" w:rsidRPr="009A1F37" w:rsidRDefault="00321EB8" w:rsidP="009A1F37">
      <w:pPr>
        <w:pStyle w:val="ListParagraph"/>
        <w:numPr>
          <w:ilvl w:val="0"/>
          <w:numId w:val="18"/>
        </w:numPr>
        <w:spacing w:before="100" w:beforeAutospacing="1" w:after="100" w:afterAutospacing="1"/>
        <w:ind w:hanging="540"/>
        <w:rPr>
          <w:rFonts w:eastAsia="Times New Roman"/>
        </w:rPr>
      </w:pPr>
      <w:r w:rsidRPr="009A1F37">
        <w:rPr>
          <w:rFonts w:eastAsia="Times New Roman"/>
        </w:rPr>
        <w:t xml:space="preserve">Try to determine what is "easy" and what is "difficult," and build an issues list for the reader. </w:t>
      </w:r>
    </w:p>
    <w:p w:rsidR="00321EB8" w:rsidRDefault="00321EB8" w:rsidP="00402DFE">
      <w:pPr>
        <w:pStyle w:val="ListParagraph"/>
        <w:numPr>
          <w:ilvl w:val="0"/>
          <w:numId w:val="18"/>
        </w:numPr>
        <w:spacing w:before="100" w:beforeAutospacing="1" w:after="100" w:afterAutospacing="1"/>
        <w:ind w:hanging="540"/>
        <w:rPr>
          <w:rFonts w:eastAsia="Times New Roman"/>
          <w:sz w:val="24"/>
          <w:szCs w:val="24"/>
        </w:rPr>
      </w:pPr>
      <w:r w:rsidRPr="009A1F37">
        <w:rPr>
          <w:rFonts w:eastAsia="Times New Roman"/>
        </w:rPr>
        <w:t>Create a final recommendation based upon the previous goals and what</w:t>
      </w:r>
      <w:r w:rsidRPr="00A827C1">
        <w:rPr>
          <w:rFonts w:eastAsia="Times New Roman"/>
          <w:sz w:val="24"/>
          <w:szCs w:val="24"/>
        </w:rPr>
        <w:t xml:space="preserve"> I learned. </w:t>
      </w:r>
    </w:p>
    <w:p w:rsidR="00402DFE" w:rsidRPr="00402DFE" w:rsidRDefault="00402DFE" w:rsidP="00402DFE">
      <w:pPr>
        <w:pStyle w:val="ListParagraph"/>
        <w:spacing w:before="100" w:beforeAutospacing="1" w:after="100" w:afterAutospacing="1"/>
        <w:rPr>
          <w:rFonts w:eastAsia="Times New Roman"/>
          <w:sz w:val="24"/>
          <w:szCs w:val="24"/>
        </w:rPr>
      </w:pPr>
    </w:p>
    <w:p w:rsidR="00D65692" w:rsidRDefault="00321EB8" w:rsidP="00382DDC">
      <w:pPr>
        <w:pStyle w:val="ListParagraph"/>
        <w:numPr>
          <w:ilvl w:val="0"/>
          <w:numId w:val="6"/>
        </w:numPr>
        <w:shd w:val="clear" w:color="auto" w:fill="943634" w:themeFill="accent2" w:themeFillShade="BF"/>
        <w:ind w:hanging="540"/>
        <w:rPr>
          <w:rFonts w:ascii="Book Antiqua" w:hAnsi="Book Antiqua"/>
          <w:b/>
          <w:color w:val="FFFFFF" w:themeColor="background1"/>
          <w:sz w:val="32"/>
          <w:szCs w:val="32"/>
        </w:rPr>
      </w:pPr>
      <w:r w:rsidRPr="00BC1DA9">
        <w:rPr>
          <w:rFonts w:ascii="Book Antiqua" w:hAnsi="Book Antiqua"/>
          <w:b/>
          <w:color w:val="FFFFFF" w:themeColor="background1"/>
          <w:sz w:val="32"/>
          <w:szCs w:val="32"/>
        </w:rPr>
        <w:t>Technical feasibility</w:t>
      </w:r>
    </w:p>
    <w:p w:rsidR="00382DDC" w:rsidRPr="00382DDC" w:rsidRDefault="00382DDC" w:rsidP="00382DDC">
      <w:pPr>
        <w:pStyle w:val="ListParagraph"/>
        <w:rPr>
          <w:rFonts w:ascii="Book Antiqua" w:hAnsi="Book Antiqua"/>
          <w:b/>
          <w:color w:val="FFFFFF" w:themeColor="background1"/>
          <w:sz w:val="32"/>
          <w:szCs w:val="32"/>
        </w:rPr>
      </w:pPr>
    </w:p>
    <w:p w:rsidR="00BA292D" w:rsidRPr="007372AC" w:rsidRDefault="00BA292D" w:rsidP="00846D5C">
      <w:pPr>
        <w:pStyle w:val="ListParagraph"/>
        <w:numPr>
          <w:ilvl w:val="0"/>
          <w:numId w:val="19"/>
        </w:numPr>
        <w:spacing w:before="240"/>
        <w:ind w:left="720" w:hanging="540"/>
        <w:jc w:val="both"/>
        <w:rPr>
          <w:rFonts w:eastAsia="Times New Roman"/>
          <w:color w:val="000000"/>
        </w:rPr>
      </w:pPr>
      <w:r w:rsidRPr="007372AC">
        <w:rPr>
          <w:rFonts w:eastAsia="Times New Roman"/>
          <w:color w:val="000000"/>
        </w:rPr>
        <w:t>We had planned to use latest and high level technology to this</w:t>
      </w:r>
      <w:r w:rsidR="000F5811" w:rsidRPr="007372AC">
        <w:rPr>
          <w:rFonts w:eastAsia="Times New Roman"/>
          <w:color w:val="000000"/>
        </w:rPr>
        <w:t xml:space="preserve"> web</w:t>
      </w:r>
      <w:r w:rsidRPr="007372AC">
        <w:rPr>
          <w:rFonts w:eastAsia="Times New Roman"/>
          <w:color w:val="000000"/>
        </w:rPr>
        <w:t xml:space="preserve"> application like share point, Ajax tools, Adobe swish</w:t>
      </w:r>
      <w:r w:rsidR="000F5811" w:rsidRPr="007372AC">
        <w:rPr>
          <w:rFonts w:eastAsia="Times New Roman"/>
          <w:color w:val="000000"/>
        </w:rPr>
        <w:t xml:space="preserve"> and </w:t>
      </w:r>
      <w:r w:rsidR="00F73ECB" w:rsidRPr="007372AC">
        <w:rPr>
          <w:rFonts w:eastAsia="Times New Roman"/>
          <w:color w:val="000000"/>
        </w:rPr>
        <w:t>Photoshop</w:t>
      </w:r>
      <w:r w:rsidR="00CB5760" w:rsidRPr="007372AC">
        <w:rPr>
          <w:rFonts w:eastAsia="Times New Roman"/>
          <w:color w:val="000000"/>
        </w:rPr>
        <w:t>,</w:t>
      </w:r>
      <w:r w:rsidR="005B0B0C">
        <w:rPr>
          <w:rFonts w:eastAsia="Times New Roman"/>
          <w:color w:val="000000"/>
        </w:rPr>
        <w:t xml:space="preserve"> </w:t>
      </w:r>
      <w:r w:rsidRPr="007372AC">
        <w:rPr>
          <w:rFonts w:eastAsia="Times New Roman"/>
          <w:color w:val="000000"/>
        </w:rPr>
        <w:t>flex</w:t>
      </w:r>
      <w:r w:rsidR="00CB5760" w:rsidRPr="007372AC">
        <w:rPr>
          <w:rFonts w:eastAsia="Times New Roman"/>
          <w:color w:val="000000"/>
        </w:rPr>
        <w:t xml:space="preserve"> and flash</w:t>
      </w:r>
      <w:r w:rsidRPr="007372AC">
        <w:rPr>
          <w:rFonts w:eastAsia="Times New Roman"/>
          <w:color w:val="000000"/>
        </w:rPr>
        <w:t xml:space="preserve"> to make it excellent dynamic point of view. We would like to explain you that share point we had like to use at live currency facility and Ajax and swish for better animation.</w:t>
      </w:r>
    </w:p>
    <w:p w:rsidR="00BA292D" w:rsidRPr="00062A16" w:rsidRDefault="00BA292D" w:rsidP="00846D5C">
      <w:pPr>
        <w:pStyle w:val="ListParagraph"/>
        <w:numPr>
          <w:ilvl w:val="0"/>
          <w:numId w:val="19"/>
        </w:numPr>
        <w:tabs>
          <w:tab w:val="left" w:pos="1170"/>
        </w:tabs>
        <w:ind w:left="720" w:hanging="540"/>
        <w:jc w:val="both"/>
        <w:rPr>
          <w:rFonts w:eastAsia="Times New Roman"/>
          <w:color w:val="000000"/>
        </w:rPr>
      </w:pPr>
      <w:r w:rsidRPr="00062A16">
        <w:rPr>
          <w:rFonts w:eastAsia="Times New Roman"/>
          <w:color w:val="000000"/>
        </w:rPr>
        <w:t>You must also consider the feasibility of such a design with respect to licensing. Current licensing guidelines prevent Office Applications from being used on a server to service client requests, unless those clients themselves have licensed copies of Office. Using server-side Automation to provide Office functionality to unlicensed workstations is not covered by the End User License Agreement.</w:t>
      </w:r>
    </w:p>
    <w:p w:rsidR="00303DD8" w:rsidRDefault="00BA292D" w:rsidP="00846D5C">
      <w:pPr>
        <w:pStyle w:val="ListParagraph"/>
        <w:numPr>
          <w:ilvl w:val="0"/>
          <w:numId w:val="19"/>
        </w:numPr>
        <w:ind w:left="720" w:hanging="540"/>
        <w:jc w:val="both"/>
        <w:rPr>
          <w:rFonts w:eastAsia="Times New Roman"/>
          <w:color w:val="000000"/>
        </w:rPr>
      </w:pPr>
      <w:r w:rsidRPr="00BF6DC2">
        <w:rPr>
          <w:rFonts w:eastAsia="Times New Roman"/>
          <w:color w:val="000000"/>
        </w:rPr>
        <w:t xml:space="preserve">Upon the initiation of the project you should prepare a feasibility analysis that provides an assessment of the business and technical quality of the application. </w:t>
      </w:r>
    </w:p>
    <w:p w:rsidR="00B67651" w:rsidRPr="00B67651" w:rsidRDefault="00B67651" w:rsidP="00B67651">
      <w:pPr>
        <w:pStyle w:val="ListParagraph"/>
        <w:jc w:val="both"/>
        <w:rPr>
          <w:rFonts w:eastAsia="Times New Roman"/>
          <w:color w:val="000000"/>
        </w:rPr>
      </w:pPr>
    </w:p>
    <w:p w:rsidR="00C262DA" w:rsidRPr="00AA4D81" w:rsidRDefault="00C262DA" w:rsidP="00654331">
      <w:pPr>
        <w:pStyle w:val="ListParagraph"/>
        <w:numPr>
          <w:ilvl w:val="0"/>
          <w:numId w:val="6"/>
        </w:numPr>
        <w:shd w:val="clear" w:color="auto" w:fill="943634" w:themeFill="accent2" w:themeFillShade="BF"/>
        <w:ind w:hanging="540"/>
        <w:jc w:val="both"/>
        <w:rPr>
          <w:rFonts w:ascii="Book Antiqua" w:hAnsi="Book Antiqua"/>
          <w:b/>
          <w:color w:val="FFFFFF" w:themeColor="background1"/>
          <w:sz w:val="32"/>
          <w:szCs w:val="32"/>
        </w:rPr>
      </w:pPr>
      <w:r w:rsidRPr="00AA4D81">
        <w:rPr>
          <w:rFonts w:ascii="Book Antiqua" w:hAnsi="Book Antiqua"/>
          <w:b/>
          <w:color w:val="FFFFFF" w:themeColor="background1"/>
          <w:sz w:val="32"/>
          <w:szCs w:val="32"/>
        </w:rPr>
        <w:t xml:space="preserve">Operational  feasibility </w:t>
      </w:r>
    </w:p>
    <w:p w:rsidR="000317D6" w:rsidRDefault="000317D6" w:rsidP="000317D6">
      <w:pPr>
        <w:pStyle w:val="ListParagraph"/>
        <w:jc w:val="both"/>
      </w:pPr>
    </w:p>
    <w:p w:rsidR="00C262DA" w:rsidRDefault="00C262DA" w:rsidP="00DA413F">
      <w:pPr>
        <w:pStyle w:val="ListParagraph"/>
        <w:numPr>
          <w:ilvl w:val="0"/>
          <w:numId w:val="20"/>
        </w:numPr>
        <w:ind w:hanging="540"/>
        <w:jc w:val="both"/>
      </w:pPr>
      <w:r>
        <w:t>Your operational practices must be well-defined so that your application integration environment can continue to operate effectively and reliably over time.</w:t>
      </w:r>
      <w:r w:rsidRPr="007927E8">
        <w:t xml:space="preserve"> </w:t>
      </w:r>
      <w:r>
        <w:t>It is important to prioritize application features supporting operations requirements early in the life cycle so these tradeoffs and decisions can be factored into the application implementation from the start.</w:t>
      </w:r>
    </w:p>
    <w:p w:rsidR="00C262DA" w:rsidRDefault="00C262DA" w:rsidP="00DA413F">
      <w:pPr>
        <w:pStyle w:val="ListParagraph"/>
        <w:numPr>
          <w:ilvl w:val="0"/>
          <w:numId w:val="20"/>
        </w:numPr>
        <w:ind w:hanging="540"/>
        <w:jc w:val="both"/>
      </w:pPr>
      <w:r>
        <w:t>This section discusses the various</w:t>
      </w:r>
      <w:r w:rsidRPr="00CE6C23">
        <w:t xml:space="preserve"> </w:t>
      </w:r>
      <w:r>
        <w:t>operational management considerations involved. Implementing the capabilities listed in this section should help to ensure that your architecture continues to function as smoothly as possible.</w:t>
      </w:r>
    </w:p>
    <w:p w:rsidR="00C262DA" w:rsidRPr="00C64128" w:rsidRDefault="00C262DA" w:rsidP="00DA413F">
      <w:pPr>
        <w:pStyle w:val="ListParagraph"/>
        <w:numPr>
          <w:ilvl w:val="0"/>
          <w:numId w:val="20"/>
        </w:numPr>
        <w:ind w:hanging="540"/>
        <w:jc w:val="both"/>
      </w:pPr>
      <w:r w:rsidRPr="00314755">
        <w:rPr>
          <w:color w:val="000000"/>
        </w:rPr>
        <w:t xml:space="preserve">Without backups of other data, the instance configuration, application </w:t>
      </w:r>
      <w:r>
        <w:t>operational</w:t>
      </w:r>
      <w:r w:rsidRPr="00314755">
        <w:rPr>
          <w:color w:val="000000"/>
        </w:rPr>
        <w:t xml:space="preserve"> definitions, subscription management interfaces, custom components, and any other files required by your applications, you will not be able to fully recover an instance of Notification Services.</w:t>
      </w:r>
    </w:p>
    <w:p w:rsidR="00323A87" w:rsidRDefault="003502D6" w:rsidP="001F1813">
      <w:pPr>
        <w:pStyle w:val="ListParagraph"/>
        <w:numPr>
          <w:ilvl w:val="0"/>
          <w:numId w:val="20"/>
        </w:numPr>
        <w:ind w:hanging="540"/>
        <w:jc w:val="both"/>
      </w:pPr>
      <w:r>
        <w:t xml:space="preserve">When any guest user visit links from our </w:t>
      </w:r>
      <w:r w:rsidR="00215A29">
        <w:t>site, then</w:t>
      </w:r>
      <w:r>
        <w:t xml:space="preserve"> the analytics operation also be done.</w:t>
      </w:r>
    </w:p>
    <w:p w:rsidR="006958A1" w:rsidRDefault="006958A1" w:rsidP="006958A1">
      <w:pPr>
        <w:jc w:val="both"/>
      </w:pPr>
    </w:p>
    <w:p w:rsidR="00632D75" w:rsidRPr="00AA4D81" w:rsidRDefault="00632D75" w:rsidP="007641CF">
      <w:pPr>
        <w:pStyle w:val="ListParagraph"/>
        <w:numPr>
          <w:ilvl w:val="0"/>
          <w:numId w:val="6"/>
        </w:numPr>
        <w:shd w:val="clear" w:color="auto" w:fill="943634" w:themeFill="accent2" w:themeFillShade="BF"/>
        <w:ind w:hanging="540"/>
        <w:jc w:val="both"/>
        <w:rPr>
          <w:rFonts w:ascii="Book Antiqua" w:hAnsi="Book Antiqua"/>
          <w:b/>
          <w:color w:val="FFFFFF" w:themeColor="background1"/>
          <w:sz w:val="32"/>
          <w:szCs w:val="32"/>
        </w:rPr>
      </w:pPr>
      <w:r>
        <w:rPr>
          <w:rFonts w:ascii="Book Antiqua" w:hAnsi="Book Antiqua"/>
          <w:b/>
          <w:color w:val="FFFFFF" w:themeColor="background1"/>
          <w:sz w:val="32"/>
          <w:szCs w:val="32"/>
        </w:rPr>
        <w:lastRenderedPageBreak/>
        <w:t>Economical feasibility</w:t>
      </w:r>
    </w:p>
    <w:p w:rsidR="00632D75" w:rsidRDefault="00632D75" w:rsidP="00632D75">
      <w:pPr>
        <w:pStyle w:val="ListParagraph"/>
        <w:jc w:val="both"/>
      </w:pPr>
    </w:p>
    <w:p w:rsidR="00632D75" w:rsidRDefault="00632D75" w:rsidP="0018797A">
      <w:pPr>
        <w:pStyle w:val="ListParagraph"/>
        <w:numPr>
          <w:ilvl w:val="0"/>
          <w:numId w:val="24"/>
        </w:numPr>
        <w:ind w:left="720" w:hanging="540"/>
        <w:jc w:val="both"/>
      </w:pPr>
      <w:r>
        <w:t>Prototype can be a convincing sales tool to alleviate the customer's concerns about the</w:t>
      </w:r>
      <w:r w:rsidRPr="00570024">
        <w:t xml:space="preserve"> feasibility</w:t>
      </w:r>
      <w:r>
        <w:t xml:space="preserve"> of a certain feature or to highlight the speed of the development process.</w:t>
      </w:r>
    </w:p>
    <w:p w:rsidR="00632D75" w:rsidRDefault="00632D75" w:rsidP="0018797A">
      <w:pPr>
        <w:pStyle w:val="ListParagraph"/>
        <w:numPr>
          <w:ilvl w:val="0"/>
          <w:numId w:val="24"/>
        </w:numPr>
        <w:ind w:left="720" w:hanging="540"/>
        <w:jc w:val="both"/>
      </w:pPr>
      <w:r>
        <w:t xml:space="preserve">In most cases, the only way to determine the </w:t>
      </w:r>
      <w:r w:rsidRPr="00570024">
        <w:t>feasibility</w:t>
      </w:r>
      <w:r>
        <w:t xml:space="preserve"> of a specific application is to test it in the Terminal Services environment. However, there are some application behaviors and origins that are known to be incompatible with or detrimental to the Terminal Services environment.</w:t>
      </w:r>
    </w:p>
    <w:p w:rsidR="00632D75" w:rsidRDefault="00632D75" w:rsidP="0018797A">
      <w:pPr>
        <w:pStyle w:val="ListParagraph"/>
        <w:numPr>
          <w:ilvl w:val="0"/>
          <w:numId w:val="24"/>
        </w:numPr>
        <w:ind w:left="720" w:hanging="540"/>
        <w:jc w:val="both"/>
      </w:pPr>
      <w:r>
        <w:t>Local resource access and downstream calls are made using the current process identity. The</w:t>
      </w:r>
      <w:r w:rsidRPr="002A33D5">
        <w:t xml:space="preserve"> </w:t>
      </w:r>
      <w:r w:rsidRPr="00570024">
        <w:t>feasibility</w:t>
      </w:r>
      <w:r>
        <w:t xml:space="preserve"> of this approach depends on the boundary being crossed, because the process identity must be recognized by the target system.</w:t>
      </w:r>
    </w:p>
    <w:p w:rsidR="00632D75" w:rsidRPr="00A916B3" w:rsidRDefault="00632D75" w:rsidP="00632D75">
      <w:pPr>
        <w:pStyle w:val="ListParagraph"/>
        <w:numPr>
          <w:ilvl w:val="0"/>
          <w:numId w:val="24"/>
        </w:numPr>
        <w:ind w:left="720" w:hanging="540"/>
        <w:jc w:val="both"/>
      </w:pPr>
      <w:r>
        <w:t>We had planned to make vendor module under this application, we had also plan and preparation, as per our duration and deadline it may not possible to complete on time so we couldn’t conceder this module as in this application.</w:t>
      </w:r>
    </w:p>
    <w:p w:rsidR="00222DB3" w:rsidRDefault="00666152" w:rsidP="00DB4310">
      <w:pPr>
        <w:rPr>
          <w:szCs w:val="24"/>
        </w:rPr>
      </w:pPr>
      <w:r>
        <w:rPr>
          <w:noProof/>
          <w:szCs w:val="24"/>
        </w:rPr>
        <w:pict>
          <v:shape id="_x0000_s1068" type="#_x0000_t176" style="position:absolute;margin-left:12.75pt;margin-top:9.4pt;width:373.5pt;height:30.9pt;z-index:251664384" fillcolor="#c0504d [3205]" strokecolor="#d99594 [1941]" strokeweight="3pt">
            <v:stroke r:id="rId9" o:title="" color2="white [3212]" filltype="pattern"/>
            <v:shadow on="t" type="perspective" color="#d99594 [1941]" opacity=".5" origin=",.5" offset="0,0" matrix=",-56756f,,.5"/>
            <v:textbox style="mso-next-textbox:#_x0000_s1068">
              <w:txbxContent>
                <w:p w:rsidR="00260939" w:rsidRPr="00260939" w:rsidRDefault="00260939" w:rsidP="007F7078">
                  <w:pPr>
                    <w:pStyle w:val="ListParagraph"/>
                    <w:numPr>
                      <w:ilvl w:val="0"/>
                      <w:numId w:val="23"/>
                    </w:numPr>
                    <w:ind w:left="450"/>
                    <w:rPr>
                      <w:b/>
                      <w:szCs w:val="32"/>
                    </w:rPr>
                  </w:pPr>
                  <w:r w:rsidRPr="00260939">
                    <w:rPr>
                      <w:rFonts w:ascii="Book Antiqua" w:hAnsi="Book Antiqua"/>
                      <w:b/>
                      <w:color w:val="FFFFFF" w:themeColor="background1"/>
                      <w:sz w:val="32"/>
                      <w:szCs w:val="32"/>
                    </w:rPr>
                    <w:t>Req</w:t>
                  </w:r>
                  <w:r>
                    <w:rPr>
                      <w:rFonts w:ascii="Book Antiqua" w:hAnsi="Book Antiqua"/>
                      <w:b/>
                      <w:color w:val="FFFFFF" w:themeColor="background1"/>
                      <w:sz w:val="32"/>
                      <w:szCs w:val="32"/>
                    </w:rPr>
                    <w:t>uirement Analysis and Data Gathering</w:t>
                  </w:r>
                </w:p>
              </w:txbxContent>
            </v:textbox>
          </v:shape>
        </w:pict>
      </w:r>
    </w:p>
    <w:p w:rsidR="0007091D" w:rsidRDefault="00C751B1" w:rsidP="00C751B1">
      <w:pPr>
        <w:tabs>
          <w:tab w:val="left" w:pos="8430"/>
        </w:tabs>
        <w:rPr>
          <w:szCs w:val="24"/>
        </w:rPr>
      </w:pPr>
      <w:r>
        <w:rPr>
          <w:szCs w:val="24"/>
        </w:rPr>
        <w:tab/>
      </w:r>
    </w:p>
    <w:p w:rsidR="00BC0BDE" w:rsidRDefault="0007091D" w:rsidP="007875E4">
      <w:pPr>
        <w:pStyle w:val="ListParagraph"/>
        <w:numPr>
          <w:ilvl w:val="0"/>
          <w:numId w:val="21"/>
        </w:numPr>
        <w:jc w:val="both"/>
      </w:pPr>
      <w:r w:rsidRPr="00750FAE">
        <w:t xml:space="preserve">To develop a </w:t>
      </w:r>
      <w:r w:rsidR="00B36703">
        <w:t>web application</w:t>
      </w:r>
      <w:r w:rsidRPr="00750FAE">
        <w:t xml:space="preserve"> it is most important to identify the user requirements in very specific manner. The correct system is that satisfied all users’ requirements. </w:t>
      </w:r>
      <w:r w:rsidR="007314DF" w:rsidRPr="00750FAE">
        <w:t>Therefore</w:t>
      </w:r>
      <w:r w:rsidRPr="00750FAE">
        <w:t xml:space="preserve"> it is very important to analyze the existing system and to document the </w:t>
      </w:r>
      <w:r w:rsidRPr="003F1797">
        <w:rPr>
          <w:b/>
        </w:rPr>
        <w:t>s</w:t>
      </w:r>
      <w:r w:rsidRPr="00750FAE">
        <w:t xml:space="preserve">oftware </w:t>
      </w:r>
      <w:r w:rsidRPr="003F1797">
        <w:rPr>
          <w:b/>
        </w:rPr>
        <w:t>r</w:t>
      </w:r>
      <w:r w:rsidRPr="00750FAE">
        <w:t xml:space="preserve">equirement </w:t>
      </w:r>
      <w:r w:rsidRPr="003F1797">
        <w:rPr>
          <w:b/>
        </w:rPr>
        <w:t>s</w:t>
      </w:r>
      <w:r w:rsidRPr="00750FAE">
        <w:t>pecification for proposed system, which in turn provides the base for development of the proposed system.</w:t>
      </w:r>
    </w:p>
    <w:p w:rsidR="0000291B" w:rsidRDefault="0007091D" w:rsidP="0000291B">
      <w:pPr>
        <w:pStyle w:val="ListParagraph"/>
        <w:numPr>
          <w:ilvl w:val="0"/>
          <w:numId w:val="21"/>
        </w:numPr>
        <w:jc w:val="both"/>
      </w:pPr>
      <w:r w:rsidRPr="00750FAE">
        <w:t>Along with our technical training, we simultaneously started the system study and analysis. During this phase, initially, we started with studying the system specification documents to understand the system and unveil the basic system elements involved.</w:t>
      </w:r>
    </w:p>
    <w:p w:rsidR="000C5BBB" w:rsidRDefault="000C5BBB" w:rsidP="000C5BBB">
      <w:pPr>
        <w:pStyle w:val="ListParagraph"/>
        <w:jc w:val="both"/>
      </w:pPr>
    </w:p>
    <w:sectPr w:rsidR="000C5BBB" w:rsidSect="004D166A">
      <w:headerReference w:type="default" r:id="rId10"/>
      <w:footerReference w:type="default" r:id="rId11"/>
      <w:pgSz w:w="11907" w:h="16839" w:code="9"/>
      <w:pgMar w:top="1440" w:right="1440" w:bottom="1440" w:left="1440" w:header="720" w:footer="375" w:gutter="0"/>
      <w:pgNumType w:start="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E51" w:rsidRDefault="009E0E51" w:rsidP="00290372">
      <w:pPr>
        <w:spacing w:after="0" w:line="240" w:lineRule="auto"/>
      </w:pPr>
      <w:r>
        <w:separator/>
      </w:r>
    </w:p>
  </w:endnote>
  <w:endnote w:type="continuationSeparator" w:id="1">
    <w:p w:rsidR="009E0E51" w:rsidRDefault="009E0E51"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A1" w:rsidRDefault="004F41B5" w:rsidP="006958A1">
    <w:pPr>
      <w:pStyle w:val="Footer"/>
      <w:tabs>
        <w:tab w:val="clear" w:pos="4680"/>
        <w:tab w:val="clear" w:pos="9360"/>
        <w:tab w:val="right" w:pos="9027"/>
      </w:tabs>
    </w:pPr>
    <w:r>
      <w:rPr>
        <w:noProof/>
      </w:rPr>
      <w:pict>
        <v:oval id="_x0000_s2051" style="position:absolute;margin-left:444.75pt;margin-top:-22.25pt;width:48pt;height:40.5pt;z-index:251658240" fillcolor="#9bbb59 [3206]" strokecolor="#9bbb59 [3206]" strokeweight="10pt">
          <v:stroke linestyle="thinThin"/>
          <v:shadow color="#868686"/>
          <v:textbox style="mso-next-textbox:#_x0000_s2051">
            <w:txbxContent>
              <w:p w:rsidR="006958A1" w:rsidRPr="00B863F3" w:rsidRDefault="00666152" w:rsidP="006958A1">
                <w:pPr>
                  <w:jc w:val="center"/>
                  <w:rPr>
                    <w:rFonts w:ascii="Book Antiqua" w:hAnsi="Book Antiqua"/>
                    <w:b/>
                    <w:color w:val="FFFFFF" w:themeColor="background1"/>
                    <w:sz w:val="30"/>
                    <w:szCs w:val="30"/>
                  </w:rPr>
                </w:pPr>
                <w:r w:rsidRPr="00513777">
                  <w:rPr>
                    <w:rFonts w:ascii="Book Antiqua" w:hAnsi="Book Antiqua"/>
                    <w:b/>
                    <w:color w:val="FFFFFF" w:themeColor="background1"/>
                    <w:sz w:val="30"/>
                    <w:szCs w:val="30"/>
                  </w:rPr>
                  <w:fldChar w:fldCharType="begin"/>
                </w:r>
                <w:r w:rsidR="006958A1" w:rsidRPr="00513777">
                  <w:rPr>
                    <w:rFonts w:ascii="Book Antiqua" w:hAnsi="Book Antiqua"/>
                    <w:b/>
                    <w:color w:val="FFFFFF" w:themeColor="background1"/>
                    <w:sz w:val="30"/>
                    <w:szCs w:val="30"/>
                  </w:rPr>
                  <w:instrText xml:space="preserve"> PAGE   \* MERGEFORMAT </w:instrText>
                </w:r>
                <w:r w:rsidRPr="00513777">
                  <w:rPr>
                    <w:rFonts w:ascii="Book Antiqua" w:hAnsi="Book Antiqua"/>
                    <w:b/>
                    <w:color w:val="FFFFFF" w:themeColor="background1"/>
                    <w:sz w:val="30"/>
                    <w:szCs w:val="30"/>
                  </w:rPr>
                  <w:fldChar w:fldCharType="separate"/>
                </w:r>
                <w:r w:rsidR="004F41B5">
                  <w:rPr>
                    <w:rFonts w:ascii="Book Antiqua" w:hAnsi="Book Antiqua"/>
                    <w:b/>
                    <w:noProof/>
                    <w:color w:val="FFFFFF" w:themeColor="background1"/>
                    <w:sz w:val="30"/>
                    <w:szCs w:val="30"/>
                  </w:rPr>
                  <w:t>19</w:t>
                </w:r>
                <w:r w:rsidRPr="00513777">
                  <w:rPr>
                    <w:rFonts w:ascii="Book Antiqua" w:hAnsi="Book Antiqua"/>
                    <w:b/>
                    <w:color w:val="FFFFFF" w:themeColor="background1"/>
                    <w:sz w:val="30"/>
                    <w:szCs w:val="30"/>
                  </w:rPr>
                  <w:fldChar w:fldCharType="end"/>
                </w:r>
              </w:p>
            </w:txbxContent>
          </v:textbox>
        </v:oval>
      </w:pict>
    </w:r>
    <w:r w:rsidR="006958A1">
      <w:tab/>
    </w:r>
  </w:p>
  <w:p w:rsidR="006958A1" w:rsidRDefault="00695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E51" w:rsidRDefault="009E0E51" w:rsidP="00290372">
      <w:pPr>
        <w:spacing w:after="0" w:line="240" w:lineRule="auto"/>
      </w:pPr>
      <w:r>
        <w:separator/>
      </w:r>
    </w:p>
  </w:footnote>
  <w:footnote w:type="continuationSeparator" w:id="1">
    <w:p w:rsidR="009E0E51" w:rsidRDefault="009E0E51"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dashDotStroked" w:sz="24" w:space="0" w:color="76923C" w:themeColor="accent3" w:themeShade="BF"/>
        <w:left w:val="dashDotStroked" w:sz="24" w:space="0" w:color="76923C" w:themeColor="accent3" w:themeShade="BF"/>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DE13D5" w:rsidTr="00606863">
      <w:trPr>
        <w:trHeight w:val="478"/>
      </w:trPr>
      <w:tc>
        <w:tcPr>
          <w:tcW w:w="8883" w:type="dxa"/>
        </w:tcPr>
        <w:p w:rsidR="00DE13D5" w:rsidRPr="00DE13D5" w:rsidRDefault="00DE13D5" w:rsidP="00DE13D5">
          <w:pPr>
            <w:pStyle w:val="Header"/>
            <w:tabs>
              <w:tab w:val="center" w:pos="4333"/>
              <w:tab w:val="left" w:pos="5985"/>
            </w:tabs>
            <w:jc w:val="right"/>
            <w:rPr>
              <w:rFonts w:ascii="Book Antiqua" w:hAnsi="Book Antiqua"/>
              <w:b/>
              <w:color w:val="943634" w:themeColor="accent2" w:themeShade="BF"/>
              <w:sz w:val="40"/>
              <w:szCs w:val="40"/>
            </w:rPr>
          </w:pPr>
          <w:r w:rsidRPr="009E731F">
            <w:rPr>
              <w:rFonts w:ascii="Book Antiqua" w:hAnsi="Book Antiqua"/>
              <w:b/>
              <w:color w:val="C00000"/>
              <w:sz w:val="40"/>
              <w:szCs w:val="40"/>
            </w:rPr>
            <w:tab/>
          </w:r>
          <w:r>
            <w:rPr>
              <w:rFonts w:ascii="Book Antiqua" w:hAnsi="Book Antiqua"/>
              <w:b/>
              <w:color w:val="943634" w:themeColor="accent2" w:themeShade="BF"/>
              <w:sz w:val="40"/>
              <w:szCs w:val="40"/>
            </w:rPr>
            <w:t>4. System Planning</w:t>
          </w:r>
        </w:p>
      </w:tc>
      <w:tc>
        <w:tcPr>
          <w:tcW w:w="1219" w:type="dxa"/>
          <w:shd w:val="clear" w:color="auto" w:fill="C2D69B" w:themeFill="accent3" w:themeFillTint="99"/>
        </w:tcPr>
        <w:p w:rsidR="00DE13D5" w:rsidRPr="00BE16C2" w:rsidRDefault="00E1604C" w:rsidP="00606863">
          <w:pPr>
            <w:pStyle w:val="Header"/>
            <w:jc w:val="center"/>
            <w:rPr>
              <w:b/>
              <w:color w:val="215868" w:themeColor="accent5" w:themeShade="80"/>
              <w:sz w:val="40"/>
              <w:szCs w:val="40"/>
            </w:rPr>
          </w:pPr>
          <w:r>
            <w:rPr>
              <w:b/>
              <w:color w:val="215868" w:themeColor="accent5" w:themeShade="80"/>
              <w:sz w:val="40"/>
              <w:szCs w:val="40"/>
            </w:rPr>
            <w:t>2012</w:t>
          </w:r>
        </w:p>
      </w:tc>
    </w:tr>
  </w:tbl>
  <w:p w:rsidR="00290372" w:rsidRDefault="00290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9.75pt" o:bullet="t">
        <v:imagedata r:id="rId1" o:title="BD21300_"/>
      </v:shape>
    </w:pict>
  </w:numPicBullet>
  <w:numPicBullet w:numPicBulletId="1">
    <w:pict>
      <v:shape id="_x0000_i1030" type="#_x0000_t75" style="width:11.25pt;height:11.25pt" o:bullet="t">
        <v:imagedata r:id="rId2" o:title="BD14565_"/>
      </v:shape>
    </w:pict>
  </w:numPicBullet>
  <w:numPicBullet w:numPicBulletId="2">
    <w:pict>
      <v:shape id="_x0000_i1031" type="#_x0000_t75" style="width:11.25pt;height:11.25pt" o:bullet="t">
        <v:imagedata r:id="rId3" o:title="BD14565_"/>
      </v:shape>
    </w:pict>
  </w:numPicBullet>
  <w:abstractNum w:abstractNumId="0">
    <w:nsid w:val="04A71B76"/>
    <w:multiLevelType w:val="hybridMultilevel"/>
    <w:tmpl w:val="8C807B60"/>
    <w:lvl w:ilvl="0" w:tplc="8A62344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8526C"/>
    <w:multiLevelType w:val="hybridMultilevel"/>
    <w:tmpl w:val="F2F43846"/>
    <w:lvl w:ilvl="0" w:tplc="E0ACCC36">
      <w:start w:val="1"/>
      <w:numFmt w:val="bullet"/>
      <w:lvlText w:val=""/>
      <w:lvlPicBulletId w:val="0"/>
      <w:lvlJc w:val="left"/>
      <w:pPr>
        <w:ind w:left="2430" w:hanging="360"/>
      </w:pPr>
      <w:rPr>
        <w:rFonts w:ascii="Symbol" w:hAnsi="Symbol" w:hint="default"/>
        <w:color w:val="auto"/>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095118C1"/>
    <w:multiLevelType w:val="hybridMultilevel"/>
    <w:tmpl w:val="687CBA1A"/>
    <w:lvl w:ilvl="0" w:tplc="25942940">
      <w:start w:val="1"/>
      <w:numFmt w:val="bullet"/>
      <w:lvlText w:val=""/>
      <w:lvlJc w:val="left"/>
      <w:pPr>
        <w:ind w:left="900" w:hanging="360"/>
      </w:pPr>
      <w:rPr>
        <w:rFonts w:ascii="Wingdings" w:hAnsi="Wingdings" w:hint="default"/>
        <w:color w:val="984806"/>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A0E7EF6"/>
    <w:multiLevelType w:val="hybridMultilevel"/>
    <w:tmpl w:val="F08E13A2"/>
    <w:lvl w:ilvl="0" w:tplc="D9AEAB9A">
      <w:start w:val="1"/>
      <w:numFmt w:val="bullet"/>
      <w:lvlText w:val=""/>
      <w:lvlJc w:val="left"/>
      <w:pPr>
        <w:ind w:left="720" w:hanging="360"/>
      </w:pPr>
      <w:rPr>
        <w:rFonts w:ascii="Wingdings" w:hAnsi="Wingdings" w:hint="default"/>
        <w:color w:val="98480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47413"/>
    <w:multiLevelType w:val="hybridMultilevel"/>
    <w:tmpl w:val="B03EE710"/>
    <w:lvl w:ilvl="0" w:tplc="455AEED6">
      <w:start w:val="1"/>
      <w:numFmt w:val="bullet"/>
      <w:lvlText w:val=""/>
      <w:lvlPicBulletId w:val="2"/>
      <w:lvlJc w:val="left"/>
      <w:pPr>
        <w:ind w:left="2250" w:hanging="360"/>
      </w:pPr>
      <w:rPr>
        <w:rFonts w:ascii="Symbol" w:hAnsi="Symbol" w:hint="default"/>
        <w:color w:val="auto"/>
        <w:sz w:val="24"/>
        <w:szCs w:val="36"/>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0BA15502"/>
    <w:multiLevelType w:val="hybridMultilevel"/>
    <w:tmpl w:val="B6C2D66C"/>
    <w:lvl w:ilvl="0" w:tplc="76784114">
      <w:start w:val="2"/>
      <w:numFmt w:val="decimal"/>
      <w:lvlText w:val="%1.1"/>
      <w:lvlJc w:val="left"/>
      <w:pPr>
        <w:ind w:left="720" w:hanging="360"/>
      </w:pPr>
      <w:rPr>
        <w:rFonts w:ascii="Book Antiqua" w:hAnsi="Book Antiqua" w:hint="default"/>
        <w:b/>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90ECD"/>
    <w:multiLevelType w:val="hybridMultilevel"/>
    <w:tmpl w:val="ECD67AEE"/>
    <w:lvl w:ilvl="0" w:tplc="9D1CD9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D1E1A"/>
    <w:multiLevelType w:val="hybridMultilevel"/>
    <w:tmpl w:val="8D9871A8"/>
    <w:lvl w:ilvl="0" w:tplc="B8E83572">
      <w:start w:val="4"/>
      <w:numFmt w:val="decimal"/>
      <w:lvlText w:val="%1.2"/>
      <w:lvlJc w:val="left"/>
      <w:pPr>
        <w:ind w:left="720" w:hanging="360"/>
      </w:pPr>
      <w:rPr>
        <w:rFonts w:ascii="Book Antiqua" w:hAnsi="Book Antiqua"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943CF"/>
    <w:multiLevelType w:val="hybridMultilevel"/>
    <w:tmpl w:val="34F61658"/>
    <w:lvl w:ilvl="0" w:tplc="D9AEAB9A">
      <w:start w:val="1"/>
      <w:numFmt w:val="bullet"/>
      <w:lvlText w:val=""/>
      <w:lvlJc w:val="left"/>
      <w:pPr>
        <w:ind w:left="720" w:hanging="360"/>
      </w:pPr>
      <w:rPr>
        <w:rFonts w:ascii="Wingdings" w:hAnsi="Wingdings" w:hint="default"/>
        <w:color w:val="98480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825A4"/>
    <w:multiLevelType w:val="hybridMultilevel"/>
    <w:tmpl w:val="FEDA9B10"/>
    <w:lvl w:ilvl="0" w:tplc="4BCE84A4">
      <w:start w:val="1"/>
      <w:numFmt w:val="bullet"/>
      <w:lvlText w:val=""/>
      <w:lvlJc w:val="left"/>
      <w:pPr>
        <w:ind w:left="720" w:hanging="360"/>
      </w:pPr>
      <w:rPr>
        <w:rFonts w:ascii="Wingdings" w:hAnsi="Wingdings" w:hint="default"/>
        <w:color w:val="98480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153AC"/>
    <w:multiLevelType w:val="multilevel"/>
    <w:tmpl w:val="03BA4E78"/>
    <w:lvl w:ilvl="0">
      <w:start w:val="1"/>
      <w:numFmt w:val="bullet"/>
      <w:lvlText w:val=""/>
      <w:lvlJc w:val="left"/>
      <w:pPr>
        <w:tabs>
          <w:tab w:val="num" w:pos="2160"/>
        </w:tabs>
        <w:ind w:left="2160" w:hanging="360"/>
      </w:pPr>
      <w:rPr>
        <w:rFonts w:ascii="Wingdings" w:hAnsi="Wingdings" w:hint="default"/>
        <w:color w:val="E36C0A"/>
        <w:sz w:val="32"/>
        <w:szCs w:val="32"/>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1">
    <w:nsid w:val="31EB37B2"/>
    <w:multiLevelType w:val="multilevel"/>
    <w:tmpl w:val="ECDC462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3A005E08"/>
    <w:multiLevelType w:val="hybridMultilevel"/>
    <w:tmpl w:val="8D3A8524"/>
    <w:lvl w:ilvl="0" w:tplc="E0ACCC3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305FF5"/>
    <w:multiLevelType w:val="hybridMultilevel"/>
    <w:tmpl w:val="F7A052F4"/>
    <w:lvl w:ilvl="0" w:tplc="0409000F">
      <w:start w:val="1"/>
      <w:numFmt w:val="decimal"/>
      <w:lvlText w:val="%1."/>
      <w:lvlJc w:val="left"/>
      <w:pPr>
        <w:ind w:left="2880" w:hanging="360"/>
      </w:pPr>
      <w:rPr>
        <w:rFonts w:hint="default"/>
        <w:color w:val="76923C"/>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55B6901"/>
    <w:multiLevelType w:val="hybridMultilevel"/>
    <w:tmpl w:val="D548BE64"/>
    <w:lvl w:ilvl="0" w:tplc="B95ED754">
      <w:start w:val="4"/>
      <w:numFmt w:val="decimal"/>
      <w:lvlText w:val="%1.1"/>
      <w:lvlJc w:val="left"/>
      <w:pPr>
        <w:ind w:left="720" w:hanging="360"/>
      </w:pPr>
      <w:rPr>
        <w:rFonts w:ascii="Book Antiqua" w:hAnsi="Book Antiqua"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F325D"/>
    <w:multiLevelType w:val="hybridMultilevel"/>
    <w:tmpl w:val="734A79BA"/>
    <w:lvl w:ilvl="0" w:tplc="D9AEAB9A">
      <w:start w:val="1"/>
      <w:numFmt w:val="bullet"/>
      <w:lvlText w:val=""/>
      <w:lvlPicBulletId w:val="0"/>
      <w:lvlJc w:val="left"/>
      <w:pPr>
        <w:ind w:left="720" w:hanging="360"/>
      </w:pPr>
      <w:rPr>
        <w:rFonts w:ascii="Wingdings" w:hAnsi="Wingdings" w:hint="default"/>
        <w:color w:val="98480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955002"/>
    <w:multiLevelType w:val="hybridMultilevel"/>
    <w:tmpl w:val="4AA02EEE"/>
    <w:lvl w:ilvl="0" w:tplc="D9AEAB9A">
      <w:start w:val="1"/>
      <w:numFmt w:val="bullet"/>
      <w:lvlText w:val=""/>
      <w:lvlJc w:val="left"/>
      <w:pPr>
        <w:ind w:left="1440" w:hanging="360"/>
      </w:pPr>
      <w:rPr>
        <w:rFonts w:ascii="Wingdings" w:hAnsi="Wingdings" w:hint="default"/>
        <w:color w:val="98480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09366A"/>
    <w:multiLevelType w:val="multilevel"/>
    <w:tmpl w:val="642A3C0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CB25A2E"/>
    <w:multiLevelType w:val="hybridMultilevel"/>
    <w:tmpl w:val="72C2DCCA"/>
    <w:lvl w:ilvl="0" w:tplc="D9AEAB9A">
      <w:start w:val="1"/>
      <w:numFmt w:val="bullet"/>
      <w:lvlText w:val=""/>
      <w:lvlJc w:val="left"/>
      <w:pPr>
        <w:ind w:left="1080" w:hanging="360"/>
      </w:pPr>
      <w:rPr>
        <w:rFonts w:ascii="Wingdings" w:hAnsi="Wingdings" w:hint="default"/>
        <w:color w:val="984806"/>
        <w:sz w:val="28"/>
      </w:rPr>
    </w:lvl>
    <w:lvl w:ilvl="1" w:tplc="D9AEAB9A">
      <w:start w:val="1"/>
      <w:numFmt w:val="bullet"/>
      <w:lvlText w:val=""/>
      <w:lvlJc w:val="left"/>
      <w:pPr>
        <w:ind w:left="1620" w:hanging="360"/>
      </w:pPr>
      <w:rPr>
        <w:rFonts w:ascii="Wingdings" w:hAnsi="Wingdings" w:hint="default"/>
        <w:color w:val="984806"/>
      </w:rPr>
    </w:lvl>
    <w:lvl w:ilvl="2" w:tplc="EB9E9A2E">
      <w:start w:val="1"/>
      <w:numFmt w:val="bullet"/>
      <w:lvlText w:val=""/>
      <w:lvlPicBulletId w:val="1"/>
      <w:lvlJc w:val="left"/>
      <w:pPr>
        <w:ind w:left="2340" w:hanging="360"/>
      </w:pPr>
      <w:rPr>
        <w:rFonts w:ascii="Symbol" w:hAnsi="Symbol" w:hint="default"/>
        <w:color w:val="E36C0A"/>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601605A1"/>
    <w:multiLevelType w:val="hybridMultilevel"/>
    <w:tmpl w:val="1FA0C532"/>
    <w:lvl w:ilvl="0" w:tplc="E0ACCC36">
      <w:start w:val="1"/>
      <w:numFmt w:val="bullet"/>
      <w:lvlText w:val=""/>
      <w:lvlPicBulletId w:val="0"/>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02F3471"/>
    <w:multiLevelType w:val="hybridMultilevel"/>
    <w:tmpl w:val="D408DDF0"/>
    <w:lvl w:ilvl="0" w:tplc="ACF81A9C">
      <w:start w:val="1"/>
      <w:numFmt w:val="bullet"/>
      <w:lvlText w:val=""/>
      <w:lvlPicBulletId w:val="0"/>
      <w:lvlJc w:val="left"/>
      <w:pPr>
        <w:ind w:left="1440" w:hanging="360"/>
      </w:pPr>
      <w:rPr>
        <w:rFonts w:ascii="Wingdings" w:hAnsi="Wingdings" w:hint="default"/>
        <w:b/>
        <w:color w:val="4F6228" w:themeColor="accent3" w:themeShade="80"/>
        <w:sz w:val="24"/>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4A0D90"/>
    <w:multiLevelType w:val="hybridMultilevel"/>
    <w:tmpl w:val="5E126182"/>
    <w:lvl w:ilvl="0" w:tplc="95E05BE8">
      <w:start w:val="1"/>
      <w:numFmt w:val="bullet"/>
      <w:lvlText w:val=""/>
      <w:lvlJc w:val="left"/>
      <w:pPr>
        <w:ind w:left="720" w:hanging="360"/>
      </w:pPr>
      <w:rPr>
        <w:rFonts w:ascii="Wingdings" w:hAnsi="Wingdings" w:hint="default"/>
        <w:b/>
        <w:color w:val="D6E3BC" w:themeColor="accent3" w:themeTint="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E48EB"/>
    <w:multiLevelType w:val="hybridMultilevel"/>
    <w:tmpl w:val="D70C8BEE"/>
    <w:lvl w:ilvl="0" w:tplc="D9AEAB9A">
      <w:start w:val="1"/>
      <w:numFmt w:val="bullet"/>
      <w:lvlText w:val=""/>
      <w:lvlJc w:val="left"/>
      <w:pPr>
        <w:ind w:left="720" w:hanging="360"/>
      </w:pPr>
      <w:rPr>
        <w:rFonts w:ascii="Wingdings" w:hAnsi="Wingdings" w:hint="default"/>
        <w:color w:val="98480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E09A9"/>
    <w:multiLevelType w:val="hybridMultilevel"/>
    <w:tmpl w:val="8CB8EB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20"/>
  </w:num>
  <w:num w:numId="5">
    <w:abstractNumId w:val="18"/>
  </w:num>
  <w:num w:numId="6">
    <w:abstractNumId w:val="21"/>
  </w:num>
  <w:num w:numId="7">
    <w:abstractNumId w:val="12"/>
  </w:num>
  <w:num w:numId="8">
    <w:abstractNumId w:val="10"/>
  </w:num>
  <w:num w:numId="9">
    <w:abstractNumId w:val="15"/>
  </w:num>
  <w:num w:numId="10">
    <w:abstractNumId w:val="4"/>
  </w:num>
  <w:num w:numId="11">
    <w:abstractNumId w:val="13"/>
  </w:num>
  <w:num w:numId="12">
    <w:abstractNumId w:val="1"/>
  </w:num>
  <w:num w:numId="13">
    <w:abstractNumId w:val="19"/>
  </w:num>
  <w:num w:numId="14">
    <w:abstractNumId w:val="6"/>
  </w:num>
  <w:num w:numId="15">
    <w:abstractNumId w:val="5"/>
  </w:num>
  <w:num w:numId="16">
    <w:abstractNumId w:val="14"/>
  </w:num>
  <w:num w:numId="17">
    <w:abstractNumId w:val="0"/>
  </w:num>
  <w:num w:numId="18">
    <w:abstractNumId w:val="22"/>
  </w:num>
  <w:num w:numId="19">
    <w:abstractNumId w:val="16"/>
  </w:num>
  <w:num w:numId="20">
    <w:abstractNumId w:val="9"/>
  </w:num>
  <w:num w:numId="21">
    <w:abstractNumId w:val="3"/>
  </w:num>
  <w:num w:numId="22">
    <w:abstractNumId w:val="8"/>
  </w:num>
  <w:num w:numId="23">
    <w:abstractNumId w:val="7"/>
  </w:num>
  <w:num w:numId="2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colormru v:ext="edit" colors="#03c"/>
      <o:colormenu v:ext="edit" fillcolor="#92d050" strokecolor="#92d050" shadowcolor="none [1311]"/>
    </o:shapedefaults>
    <o:shapelayout v:ext="edit">
      <o:idmap v:ext="edit" data="2"/>
    </o:shapelayout>
  </w:hdrShapeDefaults>
  <w:footnotePr>
    <w:footnote w:id="0"/>
    <w:footnote w:id="1"/>
  </w:footnotePr>
  <w:endnotePr>
    <w:endnote w:id="0"/>
    <w:endnote w:id="1"/>
  </w:endnotePr>
  <w:compat/>
  <w:rsids>
    <w:rsidRoot w:val="00D50B78"/>
    <w:rsid w:val="0000291B"/>
    <w:rsid w:val="0001039E"/>
    <w:rsid w:val="000147BB"/>
    <w:rsid w:val="000317D6"/>
    <w:rsid w:val="00037CDA"/>
    <w:rsid w:val="00044AE5"/>
    <w:rsid w:val="0004785E"/>
    <w:rsid w:val="0005187F"/>
    <w:rsid w:val="00060B59"/>
    <w:rsid w:val="00062A16"/>
    <w:rsid w:val="00063DFC"/>
    <w:rsid w:val="0006480E"/>
    <w:rsid w:val="00065345"/>
    <w:rsid w:val="000674B0"/>
    <w:rsid w:val="0007091D"/>
    <w:rsid w:val="0007362A"/>
    <w:rsid w:val="00080E20"/>
    <w:rsid w:val="00081533"/>
    <w:rsid w:val="00083AEB"/>
    <w:rsid w:val="00085704"/>
    <w:rsid w:val="00091794"/>
    <w:rsid w:val="0009228E"/>
    <w:rsid w:val="00093093"/>
    <w:rsid w:val="00093966"/>
    <w:rsid w:val="000970B1"/>
    <w:rsid w:val="00097F07"/>
    <w:rsid w:val="000A0763"/>
    <w:rsid w:val="000A1296"/>
    <w:rsid w:val="000A2DDD"/>
    <w:rsid w:val="000A4804"/>
    <w:rsid w:val="000B47B5"/>
    <w:rsid w:val="000C5BBB"/>
    <w:rsid w:val="000D616A"/>
    <w:rsid w:val="000E02F6"/>
    <w:rsid w:val="000E4A07"/>
    <w:rsid w:val="000E4E11"/>
    <w:rsid w:val="000F0335"/>
    <w:rsid w:val="000F3BAF"/>
    <w:rsid w:val="000F53B0"/>
    <w:rsid w:val="000F5811"/>
    <w:rsid w:val="000F6142"/>
    <w:rsid w:val="00100118"/>
    <w:rsid w:val="00101F37"/>
    <w:rsid w:val="00104632"/>
    <w:rsid w:val="00107ECF"/>
    <w:rsid w:val="00111405"/>
    <w:rsid w:val="001142F1"/>
    <w:rsid w:val="001224E4"/>
    <w:rsid w:val="00122C49"/>
    <w:rsid w:val="001232AB"/>
    <w:rsid w:val="00126114"/>
    <w:rsid w:val="00144484"/>
    <w:rsid w:val="00152C8F"/>
    <w:rsid w:val="00153B99"/>
    <w:rsid w:val="001668CE"/>
    <w:rsid w:val="001717F1"/>
    <w:rsid w:val="00177C24"/>
    <w:rsid w:val="001818EE"/>
    <w:rsid w:val="0018797A"/>
    <w:rsid w:val="001902BA"/>
    <w:rsid w:val="001A189F"/>
    <w:rsid w:val="001A38F2"/>
    <w:rsid w:val="001B195C"/>
    <w:rsid w:val="001B4B39"/>
    <w:rsid w:val="001B5CB4"/>
    <w:rsid w:val="001B6AE3"/>
    <w:rsid w:val="001C3B56"/>
    <w:rsid w:val="001C4A07"/>
    <w:rsid w:val="001C676B"/>
    <w:rsid w:val="001C742D"/>
    <w:rsid w:val="001D1BDB"/>
    <w:rsid w:val="001D51C3"/>
    <w:rsid w:val="001E3E53"/>
    <w:rsid w:val="001F052D"/>
    <w:rsid w:val="001F1813"/>
    <w:rsid w:val="001F6665"/>
    <w:rsid w:val="0020053A"/>
    <w:rsid w:val="00200F0B"/>
    <w:rsid w:val="002027C0"/>
    <w:rsid w:val="00215A29"/>
    <w:rsid w:val="00222DB3"/>
    <w:rsid w:val="00224D5A"/>
    <w:rsid w:val="002255F3"/>
    <w:rsid w:val="00233B14"/>
    <w:rsid w:val="00235268"/>
    <w:rsid w:val="00237B5C"/>
    <w:rsid w:val="002444B2"/>
    <w:rsid w:val="002504CD"/>
    <w:rsid w:val="0025571E"/>
    <w:rsid w:val="00256018"/>
    <w:rsid w:val="002607AE"/>
    <w:rsid w:val="00260939"/>
    <w:rsid w:val="00260B85"/>
    <w:rsid w:val="00264B55"/>
    <w:rsid w:val="00264F31"/>
    <w:rsid w:val="0027275D"/>
    <w:rsid w:val="00277771"/>
    <w:rsid w:val="00281F54"/>
    <w:rsid w:val="002854A1"/>
    <w:rsid w:val="00290372"/>
    <w:rsid w:val="002A56FC"/>
    <w:rsid w:val="002A73A9"/>
    <w:rsid w:val="002A7603"/>
    <w:rsid w:val="002B29FD"/>
    <w:rsid w:val="002B39CC"/>
    <w:rsid w:val="002B6F6A"/>
    <w:rsid w:val="002C4798"/>
    <w:rsid w:val="002D5842"/>
    <w:rsid w:val="002D6C10"/>
    <w:rsid w:val="002E0806"/>
    <w:rsid w:val="002F335F"/>
    <w:rsid w:val="002F77B3"/>
    <w:rsid w:val="00303DD8"/>
    <w:rsid w:val="00314755"/>
    <w:rsid w:val="0031494B"/>
    <w:rsid w:val="00321EB8"/>
    <w:rsid w:val="003223AA"/>
    <w:rsid w:val="00323A87"/>
    <w:rsid w:val="00323B12"/>
    <w:rsid w:val="00326A0A"/>
    <w:rsid w:val="003427CE"/>
    <w:rsid w:val="00344E9B"/>
    <w:rsid w:val="003502D6"/>
    <w:rsid w:val="00356CA0"/>
    <w:rsid w:val="00361201"/>
    <w:rsid w:val="00364AF3"/>
    <w:rsid w:val="003673DA"/>
    <w:rsid w:val="00367E32"/>
    <w:rsid w:val="00371402"/>
    <w:rsid w:val="0038032E"/>
    <w:rsid w:val="00382DDC"/>
    <w:rsid w:val="003A2508"/>
    <w:rsid w:val="003A2A91"/>
    <w:rsid w:val="003A3E46"/>
    <w:rsid w:val="003A62D1"/>
    <w:rsid w:val="003A66D9"/>
    <w:rsid w:val="003C78E3"/>
    <w:rsid w:val="003D216B"/>
    <w:rsid w:val="003D52CE"/>
    <w:rsid w:val="003E1942"/>
    <w:rsid w:val="003E7CA6"/>
    <w:rsid w:val="003F1797"/>
    <w:rsid w:val="00402DFE"/>
    <w:rsid w:val="0040414A"/>
    <w:rsid w:val="00414548"/>
    <w:rsid w:val="00416488"/>
    <w:rsid w:val="0043356E"/>
    <w:rsid w:val="004339E2"/>
    <w:rsid w:val="00434314"/>
    <w:rsid w:val="00437201"/>
    <w:rsid w:val="00443B39"/>
    <w:rsid w:val="00444E4E"/>
    <w:rsid w:val="00457A4D"/>
    <w:rsid w:val="00480284"/>
    <w:rsid w:val="00484B29"/>
    <w:rsid w:val="00485C22"/>
    <w:rsid w:val="00492868"/>
    <w:rsid w:val="00492A2E"/>
    <w:rsid w:val="0049493F"/>
    <w:rsid w:val="0049506F"/>
    <w:rsid w:val="004A07C1"/>
    <w:rsid w:val="004A2925"/>
    <w:rsid w:val="004A4F16"/>
    <w:rsid w:val="004A6908"/>
    <w:rsid w:val="004A6CB2"/>
    <w:rsid w:val="004B27D7"/>
    <w:rsid w:val="004C1C35"/>
    <w:rsid w:val="004C2DE5"/>
    <w:rsid w:val="004D166A"/>
    <w:rsid w:val="004E1814"/>
    <w:rsid w:val="004F4163"/>
    <w:rsid w:val="004F41B5"/>
    <w:rsid w:val="004F5B84"/>
    <w:rsid w:val="004F690B"/>
    <w:rsid w:val="00505D28"/>
    <w:rsid w:val="0050644F"/>
    <w:rsid w:val="005216D3"/>
    <w:rsid w:val="00526EBA"/>
    <w:rsid w:val="00535E05"/>
    <w:rsid w:val="00543DF7"/>
    <w:rsid w:val="005447DB"/>
    <w:rsid w:val="00545E91"/>
    <w:rsid w:val="00550A9D"/>
    <w:rsid w:val="00557279"/>
    <w:rsid w:val="00563716"/>
    <w:rsid w:val="00570FF4"/>
    <w:rsid w:val="005711AA"/>
    <w:rsid w:val="00571ACA"/>
    <w:rsid w:val="00572B96"/>
    <w:rsid w:val="00577387"/>
    <w:rsid w:val="005818CE"/>
    <w:rsid w:val="00583EF2"/>
    <w:rsid w:val="005846F6"/>
    <w:rsid w:val="0059533C"/>
    <w:rsid w:val="005B0483"/>
    <w:rsid w:val="005B0B0C"/>
    <w:rsid w:val="005B3861"/>
    <w:rsid w:val="005C12C5"/>
    <w:rsid w:val="005C1712"/>
    <w:rsid w:val="005C3533"/>
    <w:rsid w:val="005D189F"/>
    <w:rsid w:val="005D3250"/>
    <w:rsid w:val="005D5EFC"/>
    <w:rsid w:val="005F1A42"/>
    <w:rsid w:val="00604716"/>
    <w:rsid w:val="0060585E"/>
    <w:rsid w:val="006126B3"/>
    <w:rsid w:val="006157B0"/>
    <w:rsid w:val="00616B3D"/>
    <w:rsid w:val="00620506"/>
    <w:rsid w:val="00622135"/>
    <w:rsid w:val="0062418B"/>
    <w:rsid w:val="0062537C"/>
    <w:rsid w:val="0062584A"/>
    <w:rsid w:val="00632D75"/>
    <w:rsid w:val="006342A7"/>
    <w:rsid w:val="006444DA"/>
    <w:rsid w:val="00651CF0"/>
    <w:rsid w:val="00654169"/>
    <w:rsid w:val="00654331"/>
    <w:rsid w:val="00655958"/>
    <w:rsid w:val="0065629C"/>
    <w:rsid w:val="00666152"/>
    <w:rsid w:val="00666B9A"/>
    <w:rsid w:val="00667C8E"/>
    <w:rsid w:val="00670FF4"/>
    <w:rsid w:val="0067192A"/>
    <w:rsid w:val="00675462"/>
    <w:rsid w:val="00694807"/>
    <w:rsid w:val="006958A1"/>
    <w:rsid w:val="006A1D63"/>
    <w:rsid w:val="006A3F59"/>
    <w:rsid w:val="006B10C0"/>
    <w:rsid w:val="006B3E4A"/>
    <w:rsid w:val="006B47E8"/>
    <w:rsid w:val="006B5B14"/>
    <w:rsid w:val="006B6EF9"/>
    <w:rsid w:val="006C69E8"/>
    <w:rsid w:val="006D385F"/>
    <w:rsid w:val="006E315E"/>
    <w:rsid w:val="006E66EF"/>
    <w:rsid w:val="00701D2B"/>
    <w:rsid w:val="007045B9"/>
    <w:rsid w:val="0070532C"/>
    <w:rsid w:val="0071569E"/>
    <w:rsid w:val="0071716C"/>
    <w:rsid w:val="0071786E"/>
    <w:rsid w:val="007314DF"/>
    <w:rsid w:val="007372AC"/>
    <w:rsid w:val="00741C0B"/>
    <w:rsid w:val="00751290"/>
    <w:rsid w:val="007537B9"/>
    <w:rsid w:val="00757D51"/>
    <w:rsid w:val="00760073"/>
    <w:rsid w:val="00760266"/>
    <w:rsid w:val="007641CF"/>
    <w:rsid w:val="00764EB1"/>
    <w:rsid w:val="0078363C"/>
    <w:rsid w:val="007875E4"/>
    <w:rsid w:val="00787F0F"/>
    <w:rsid w:val="00797413"/>
    <w:rsid w:val="007978C0"/>
    <w:rsid w:val="007A1A1E"/>
    <w:rsid w:val="007A5923"/>
    <w:rsid w:val="007B4196"/>
    <w:rsid w:val="007B4611"/>
    <w:rsid w:val="007B488C"/>
    <w:rsid w:val="007B62B1"/>
    <w:rsid w:val="007B6A75"/>
    <w:rsid w:val="007D25E9"/>
    <w:rsid w:val="007F3CA4"/>
    <w:rsid w:val="007F7078"/>
    <w:rsid w:val="00800941"/>
    <w:rsid w:val="0082578B"/>
    <w:rsid w:val="0083002D"/>
    <w:rsid w:val="00835276"/>
    <w:rsid w:val="0084148A"/>
    <w:rsid w:val="008439D2"/>
    <w:rsid w:val="008458DB"/>
    <w:rsid w:val="0084626F"/>
    <w:rsid w:val="00846D5C"/>
    <w:rsid w:val="00852F43"/>
    <w:rsid w:val="0085448F"/>
    <w:rsid w:val="00856729"/>
    <w:rsid w:val="00861FF3"/>
    <w:rsid w:val="00862107"/>
    <w:rsid w:val="00864B9F"/>
    <w:rsid w:val="008675EA"/>
    <w:rsid w:val="00872E85"/>
    <w:rsid w:val="00873588"/>
    <w:rsid w:val="008738E5"/>
    <w:rsid w:val="00876717"/>
    <w:rsid w:val="00876DBF"/>
    <w:rsid w:val="00880A7D"/>
    <w:rsid w:val="00880C91"/>
    <w:rsid w:val="008812CB"/>
    <w:rsid w:val="00881C6B"/>
    <w:rsid w:val="00883543"/>
    <w:rsid w:val="00891212"/>
    <w:rsid w:val="0089400E"/>
    <w:rsid w:val="008A004A"/>
    <w:rsid w:val="008B1CFD"/>
    <w:rsid w:val="008B2D40"/>
    <w:rsid w:val="008C3398"/>
    <w:rsid w:val="008C6421"/>
    <w:rsid w:val="008C6499"/>
    <w:rsid w:val="008D0B48"/>
    <w:rsid w:val="008E28F9"/>
    <w:rsid w:val="008F52FA"/>
    <w:rsid w:val="008F747E"/>
    <w:rsid w:val="00905A9B"/>
    <w:rsid w:val="00911F8B"/>
    <w:rsid w:val="00915F4C"/>
    <w:rsid w:val="00921A99"/>
    <w:rsid w:val="00931C71"/>
    <w:rsid w:val="00932A22"/>
    <w:rsid w:val="0093488D"/>
    <w:rsid w:val="00940AF0"/>
    <w:rsid w:val="00940B8E"/>
    <w:rsid w:val="009427C1"/>
    <w:rsid w:val="00943A77"/>
    <w:rsid w:val="00944A3A"/>
    <w:rsid w:val="0095291E"/>
    <w:rsid w:val="009617F3"/>
    <w:rsid w:val="00962C31"/>
    <w:rsid w:val="00962EAA"/>
    <w:rsid w:val="009665A1"/>
    <w:rsid w:val="0097060D"/>
    <w:rsid w:val="00970B93"/>
    <w:rsid w:val="0097343E"/>
    <w:rsid w:val="0097542D"/>
    <w:rsid w:val="00976F3D"/>
    <w:rsid w:val="00981370"/>
    <w:rsid w:val="0099135B"/>
    <w:rsid w:val="00991DE0"/>
    <w:rsid w:val="00996F22"/>
    <w:rsid w:val="009A0D53"/>
    <w:rsid w:val="009A1F37"/>
    <w:rsid w:val="009B02E9"/>
    <w:rsid w:val="009B12A3"/>
    <w:rsid w:val="009B68B9"/>
    <w:rsid w:val="009C2B96"/>
    <w:rsid w:val="009C7144"/>
    <w:rsid w:val="009D0778"/>
    <w:rsid w:val="009D1881"/>
    <w:rsid w:val="009D3C3A"/>
    <w:rsid w:val="009D50DF"/>
    <w:rsid w:val="009D6C7A"/>
    <w:rsid w:val="009D6D0C"/>
    <w:rsid w:val="009E0E51"/>
    <w:rsid w:val="009E160E"/>
    <w:rsid w:val="009E3ED5"/>
    <w:rsid w:val="00A0039D"/>
    <w:rsid w:val="00A02E41"/>
    <w:rsid w:val="00A03ED9"/>
    <w:rsid w:val="00A1363D"/>
    <w:rsid w:val="00A16568"/>
    <w:rsid w:val="00A23FA5"/>
    <w:rsid w:val="00A24173"/>
    <w:rsid w:val="00A31B08"/>
    <w:rsid w:val="00A34D78"/>
    <w:rsid w:val="00A36416"/>
    <w:rsid w:val="00A4072B"/>
    <w:rsid w:val="00A43418"/>
    <w:rsid w:val="00A46C0B"/>
    <w:rsid w:val="00A73CDE"/>
    <w:rsid w:val="00A76605"/>
    <w:rsid w:val="00A827C1"/>
    <w:rsid w:val="00A912D8"/>
    <w:rsid w:val="00A95A6D"/>
    <w:rsid w:val="00A97BA6"/>
    <w:rsid w:val="00AA18D8"/>
    <w:rsid w:val="00AA3F68"/>
    <w:rsid w:val="00AA3FC0"/>
    <w:rsid w:val="00AA4D81"/>
    <w:rsid w:val="00AA561F"/>
    <w:rsid w:val="00AA656B"/>
    <w:rsid w:val="00AB3AF0"/>
    <w:rsid w:val="00AC2381"/>
    <w:rsid w:val="00AC6DE9"/>
    <w:rsid w:val="00AC7A24"/>
    <w:rsid w:val="00AD1164"/>
    <w:rsid w:val="00AD535B"/>
    <w:rsid w:val="00AD6F4C"/>
    <w:rsid w:val="00AE445B"/>
    <w:rsid w:val="00AF3350"/>
    <w:rsid w:val="00B00186"/>
    <w:rsid w:val="00B02F64"/>
    <w:rsid w:val="00B04793"/>
    <w:rsid w:val="00B060EF"/>
    <w:rsid w:val="00B12D80"/>
    <w:rsid w:val="00B1473B"/>
    <w:rsid w:val="00B26B21"/>
    <w:rsid w:val="00B31A11"/>
    <w:rsid w:val="00B36703"/>
    <w:rsid w:val="00B445CA"/>
    <w:rsid w:val="00B45786"/>
    <w:rsid w:val="00B67599"/>
    <w:rsid w:val="00B67651"/>
    <w:rsid w:val="00B75917"/>
    <w:rsid w:val="00B80C10"/>
    <w:rsid w:val="00B84569"/>
    <w:rsid w:val="00B91079"/>
    <w:rsid w:val="00B910BE"/>
    <w:rsid w:val="00B958C1"/>
    <w:rsid w:val="00B97E9A"/>
    <w:rsid w:val="00BA07C1"/>
    <w:rsid w:val="00BA292D"/>
    <w:rsid w:val="00BA3CE7"/>
    <w:rsid w:val="00BB4117"/>
    <w:rsid w:val="00BC0BDE"/>
    <w:rsid w:val="00BC1DA9"/>
    <w:rsid w:val="00BC25C6"/>
    <w:rsid w:val="00BC2FD2"/>
    <w:rsid w:val="00BC3E6B"/>
    <w:rsid w:val="00BC48DF"/>
    <w:rsid w:val="00BC6F57"/>
    <w:rsid w:val="00BD4B0D"/>
    <w:rsid w:val="00BE0624"/>
    <w:rsid w:val="00BF6DC2"/>
    <w:rsid w:val="00BF6F0C"/>
    <w:rsid w:val="00C06202"/>
    <w:rsid w:val="00C0705C"/>
    <w:rsid w:val="00C152F5"/>
    <w:rsid w:val="00C2232E"/>
    <w:rsid w:val="00C226AC"/>
    <w:rsid w:val="00C262DA"/>
    <w:rsid w:val="00C32690"/>
    <w:rsid w:val="00C35133"/>
    <w:rsid w:val="00C4297C"/>
    <w:rsid w:val="00C44F12"/>
    <w:rsid w:val="00C45511"/>
    <w:rsid w:val="00C45CA6"/>
    <w:rsid w:val="00C54A2A"/>
    <w:rsid w:val="00C62DEA"/>
    <w:rsid w:val="00C64128"/>
    <w:rsid w:val="00C735C3"/>
    <w:rsid w:val="00C751B1"/>
    <w:rsid w:val="00C872D0"/>
    <w:rsid w:val="00C93CCC"/>
    <w:rsid w:val="00C955A5"/>
    <w:rsid w:val="00C97DED"/>
    <w:rsid w:val="00CA0BD4"/>
    <w:rsid w:val="00CB1ABF"/>
    <w:rsid w:val="00CB1B91"/>
    <w:rsid w:val="00CB3AD9"/>
    <w:rsid w:val="00CB4B61"/>
    <w:rsid w:val="00CB574E"/>
    <w:rsid w:val="00CB5760"/>
    <w:rsid w:val="00CB5BE4"/>
    <w:rsid w:val="00CC6398"/>
    <w:rsid w:val="00CD2CFF"/>
    <w:rsid w:val="00CE19DB"/>
    <w:rsid w:val="00CE3779"/>
    <w:rsid w:val="00CF4C77"/>
    <w:rsid w:val="00D11F33"/>
    <w:rsid w:val="00D175A7"/>
    <w:rsid w:val="00D20512"/>
    <w:rsid w:val="00D40DC8"/>
    <w:rsid w:val="00D50B78"/>
    <w:rsid w:val="00D643F0"/>
    <w:rsid w:val="00D6479D"/>
    <w:rsid w:val="00D65692"/>
    <w:rsid w:val="00D668AB"/>
    <w:rsid w:val="00D77768"/>
    <w:rsid w:val="00D81B7E"/>
    <w:rsid w:val="00D81D94"/>
    <w:rsid w:val="00D90DDE"/>
    <w:rsid w:val="00DA02CD"/>
    <w:rsid w:val="00DA3D7D"/>
    <w:rsid w:val="00DA413F"/>
    <w:rsid w:val="00DA7D4F"/>
    <w:rsid w:val="00DA7DE0"/>
    <w:rsid w:val="00DB4310"/>
    <w:rsid w:val="00DC06BF"/>
    <w:rsid w:val="00DC072A"/>
    <w:rsid w:val="00DC2525"/>
    <w:rsid w:val="00DD52BC"/>
    <w:rsid w:val="00DE13D5"/>
    <w:rsid w:val="00DE24A7"/>
    <w:rsid w:val="00DF5E58"/>
    <w:rsid w:val="00E011CB"/>
    <w:rsid w:val="00E11168"/>
    <w:rsid w:val="00E1604C"/>
    <w:rsid w:val="00E16468"/>
    <w:rsid w:val="00E17228"/>
    <w:rsid w:val="00E252AD"/>
    <w:rsid w:val="00E356CE"/>
    <w:rsid w:val="00E45F9A"/>
    <w:rsid w:val="00E46EAC"/>
    <w:rsid w:val="00E546B0"/>
    <w:rsid w:val="00E716D4"/>
    <w:rsid w:val="00EA0048"/>
    <w:rsid w:val="00EB08A9"/>
    <w:rsid w:val="00EB60D6"/>
    <w:rsid w:val="00EB6280"/>
    <w:rsid w:val="00EC3190"/>
    <w:rsid w:val="00ED31DF"/>
    <w:rsid w:val="00ED3400"/>
    <w:rsid w:val="00EE14A1"/>
    <w:rsid w:val="00EE23C0"/>
    <w:rsid w:val="00F13308"/>
    <w:rsid w:val="00F1426C"/>
    <w:rsid w:val="00F16CF4"/>
    <w:rsid w:val="00F355F9"/>
    <w:rsid w:val="00F36457"/>
    <w:rsid w:val="00F368ED"/>
    <w:rsid w:val="00F427F2"/>
    <w:rsid w:val="00F45346"/>
    <w:rsid w:val="00F475C8"/>
    <w:rsid w:val="00F47809"/>
    <w:rsid w:val="00F64B0F"/>
    <w:rsid w:val="00F64D34"/>
    <w:rsid w:val="00F73ECB"/>
    <w:rsid w:val="00F74B09"/>
    <w:rsid w:val="00F76A31"/>
    <w:rsid w:val="00F91FE6"/>
    <w:rsid w:val="00F9209F"/>
    <w:rsid w:val="00F928A9"/>
    <w:rsid w:val="00F9572D"/>
    <w:rsid w:val="00FA576C"/>
    <w:rsid w:val="00FA7859"/>
    <w:rsid w:val="00FC031A"/>
    <w:rsid w:val="00FD0CD4"/>
    <w:rsid w:val="00FD0D0E"/>
    <w:rsid w:val="00FD2BBE"/>
    <w:rsid w:val="00FD2CF5"/>
    <w:rsid w:val="00FD58AC"/>
    <w:rsid w:val="00FF02C5"/>
    <w:rsid w:val="00FF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03c"/>
      <o:colormenu v:ext="edit" fillcolor="#92d050" strokecolor="#92d050" shadow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paragraph" w:styleId="Heading2">
    <w:name w:val="heading 2"/>
    <w:basedOn w:val="Normal"/>
    <w:next w:val="Normal"/>
    <w:link w:val="Heading2Char"/>
    <w:uiPriority w:val="9"/>
    <w:semiHidden/>
    <w:unhideWhenUsed/>
    <w:qFormat/>
    <w:rsid w:val="00CF4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 w:type="character" w:customStyle="1" w:styleId="Heading2Char">
    <w:name w:val="Heading 2 Char"/>
    <w:basedOn w:val="DefaultParagraphFont"/>
    <w:link w:val="Heading2"/>
    <w:uiPriority w:val="9"/>
    <w:semiHidden/>
    <w:rsid w:val="00CF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4C77"/>
    <w:rPr>
      <w:rFonts w:asciiTheme="majorHAnsi" w:eastAsiaTheme="majorEastAsia" w:hAnsiTheme="majorHAnsi" w:cstheme="majorBidi"/>
      <w:b/>
      <w:bCs/>
      <w:color w:val="4F81BD" w:themeColor="accent1"/>
    </w:rPr>
  </w:style>
  <w:style w:type="paragraph" w:styleId="NormalWeb">
    <w:name w:val="Normal (Web)"/>
    <w:basedOn w:val="Normal"/>
    <w:uiPriority w:val="99"/>
    <w:rsid w:val="00CF4C7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F4C77"/>
    <w:rPr>
      <w:color w:val="0000FF"/>
      <w:u w:val="single"/>
    </w:rPr>
  </w:style>
  <w:style w:type="character" w:customStyle="1" w:styleId="apple-converted-space">
    <w:name w:val="apple-converted-space"/>
    <w:basedOn w:val="DefaultParagraphFont"/>
    <w:rsid w:val="00CF4C77"/>
  </w:style>
  <w:style w:type="character" w:customStyle="1" w:styleId="apple-style-span">
    <w:name w:val="apple-style-span"/>
    <w:basedOn w:val="DefaultParagraphFont"/>
    <w:rsid w:val="00CF4C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05E36-FEED-4A16-82AD-0DD795B2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552</cp:revision>
  <dcterms:created xsi:type="dcterms:W3CDTF">2011-04-12T11:42:00Z</dcterms:created>
  <dcterms:modified xsi:type="dcterms:W3CDTF">2012-04-19T14:47:00Z</dcterms:modified>
</cp:coreProperties>
</file>