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2.png" ContentType="image/png"/>
  <Override PartName="/word/media/rId29.png" ContentType="image/png"/>
  <Override PartName="/word/media/rId95.png" ContentType="image/png"/>
  <Override PartName="/word/media/rId99.png" ContentType="image/png"/>
  <Override PartName="/word/media/rId104.png" ContentType="image/png"/>
  <Override PartName="/word/media/rId125.png" ContentType="image/png"/>
  <Override PartName="/word/media/rId119.png" ContentType="image/png"/>
  <Override PartName="/word/media/rId122.png" ContentType="image/png"/>
  <Override PartName="/word/media/rId115.png" ContentType="image/png"/>
  <Override PartName="/word/media/rId132.png" ContentType="image/png"/>
  <Override PartName="/word/media/rId135.png" ContentType="image/png"/>
  <Override PartName="/word/media/rId139.png" ContentType="image/png"/>
  <Override PartName="/word/media/rId33.png" ContentType="image/png"/>
  <Override PartName="/word/media/rId109.png" ContentType="image/png"/>
  <Override PartName="/word/media/rId37.png" ContentType="image/png"/>
  <Override PartName="/word/media/rId40.png" ContentType="image/png"/>
  <Override PartName="/word/media/rId142.png" ContentType="image/png"/>
  <Override PartName="/word/media/rId45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PACenter"/>
      </w:pPr>
      <w:r>
        <w:t xml:space="preserve"> </w:t>
      </w:r>
    </w:p>
    <w:p>
      <w:pPr>
        <w:pStyle w:val="APACenter"/>
      </w:pPr>
      <w:r>
        <w:t xml:space="preserve"> </w:t>
      </w:r>
    </w:p>
    <w:p>
      <w:pPr>
        <w:pStyle w:val="APACenterBold"/>
      </w:pPr>
      <w:r>
        <w:t xml:space="preserve">FloodGuard: Cloud Service Integration and Monitoring Through a Serverless and Microservices Architecture</w:t>
      </w:r>
    </w:p>
    <w:p>
      <w:pPr>
        <w:pStyle w:val="APACenter"/>
      </w:pPr>
      <w:r>
        <w:t xml:space="preserve"> </w:t>
      </w:r>
    </w:p>
    <w:p>
      <w:pPr>
        <w:pStyle w:val="APACenter"/>
      </w:pPr>
      <w:r>
        <w:t xml:space="preserve">Ashok Bhattrai (NP0698[##]), Samir Pokhrel (NP0698[##]),</w:t>
      </w:r>
    </w:p>
    <w:p>
      <w:pPr>
        <w:pStyle w:val="APACenter"/>
      </w:pPr>
      <w:r>
        <w:t xml:space="preserve">Anjali Misra (NP0698[##]), and Sangita Tamang (NP0698[##])</w:t>
      </w:r>
    </w:p>
    <w:p>
      <w:pPr>
        <w:pStyle w:val="APACenter"/>
      </w:pPr>
      <w:r>
        <w:t xml:space="preserve">School of Computing, Asia Pacific University of Technology and Innovation</w:t>
      </w:r>
    </w:p>
    <w:p>
      <w:pPr>
        <w:pStyle w:val="APACenter"/>
      </w:pPr>
      <w:r>
        <w:t xml:space="preserve">CT071-3-3-DDAC: Designing and Developing Cloud Applications</w:t>
      </w:r>
    </w:p>
    <w:p>
      <w:pPr>
        <w:pStyle w:val="APACenter"/>
      </w:pPr>
      <w:r>
        <w:t xml:space="preserve">[LECTURER NAME]</w:t>
      </w:r>
    </w:p>
    <w:p>
      <w:pPr>
        <w:pStyle w:val="APACenter"/>
      </w:pPr>
      <w:r>
        <w:t xml:space="preserve">[SUBMISSION DATE]</w:t>
      </w:r>
    </w:p>
    <w:p>
      <w:pPr>
        <w:pStyle w:val="APACenter"/>
      </w:pPr>
      <w:r>
        <w:t xml:space="preserve"> </w:t>
      </w:r>
    </w:p>
    <w:p>
      <w:pPr>
        <w:pStyle w:val="APACenter"/>
      </w:pPr>
      <w:r>
        <w:t xml:space="preserve">Group G[GROUP NUMBER]</w:t>
      </w:r>
    </w:p>
    <w:p>
      <w:pPr>
        <w:pStyle w:val="APACenter"/>
      </w:pPr>
      <w:r>
        <w:t xml:space="preserve">Problem Background 4: Flood Early Warning and Disaster Preparedness</w:t>
      </w:r>
    </w:p>
    <w:p>
      <w:r>
        <w:br w:type="page"/>
      </w:r>
    </w:p>
    <w:p>
      <w:pPr>
        <w:pStyle w:val="APACenterBold"/>
      </w:pPr>
      <w:r>
        <w:t xml:space="preserve">Table of Contents</w:t>
      </w:r>
    </w:p>
    <w:p>
      <w:pPr>
        <w:pStyle w:val="TOCLine1"/>
      </w:pPr>
      <w:r>
        <w:t xml:space="preserve">Introduction</w:t>
      </w:r>
      <w:r>
        <w:tab/>
      </w:r>
      <w:r>
        <w:t>3</w:t>
      </w:r>
    </w:p>
    <w:p>
      <w:pPr>
        <w:pStyle w:val="TOCLine2"/>
      </w:pPr>
      <w:r>
        <w:t xml:space="preserve">Task 1 Existing System Summary</w:t>
      </w:r>
      <w:r>
        <w:tab/>
      </w:r>
      <w:r>
        <w:t>3</w:t>
      </w:r>
    </w:p>
    <w:p>
      <w:pPr>
        <w:pStyle w:val="TOCLine2"/>
      </w:pPr>
      <w:r>
        <w:t xml:space="preserve">Proposed Cloud Architecture</w:t>
      </w:r>
      <w:r>
        <w:tab/>
      </w:r>
      <w:r>
        <w:t>4</w:t>
      </w:r>
    </w:p>
    <w:p>
      <w:pPr>
        <w:pStyle w:val="TOCLine2"/>
      </w:pPr>
      <w:r>
        <w:t xml:space="preserve">Changes Made to the Architecture</w:t>
      </w:r>
      <w:r>
        <w:tab/>
      </w:r>
      <w:r>
        <w:t>5</w:t>
      </w:r>
    </w:p>
    <w:p>
      <w:pPr>
        <w:pStyle w:val="TOCLine2"/>
      </w:pPr>
      <w:r>
        <w:t xml:space="preserve">Microservices Design</w:t>
      </w:r>
      <w:r>
        <w:tab/>
      </w:r>
      <w:r>
        <w:t>6</w:t>
      </w:r>
    </w:p>
    <w:p>
      <w:pPr>
        <w:pStyle w:val="TOCLine2"/>
      </w:pPr>
      <w:r>
        <w:t xml:space="preserve">Benefits of the Expansion</w:t>
      </w:r>
      <w:r>
        <w:tab/>
      </w:r>
      <w:r>
        <w:t>7</w:t>
      </w:r>
    </w:p>
    <w:p>
      <w:pPr>
        <w:pStyle w:val="TOCLine1"/>
      </w:pPr>
      <w:r>
        <w:t xml:space="preserve">System Implementation</w:t>
      </w:r>
      <w:r>
        <w:tab/>
      </w:r>
      <w:r>
        <w:t>8</w:t>
      </w:r>
    </w:p>
    <w:p>
      <w:pPr>
        <w:pStyle w:val="TOCLine2"/>
      </w:pPr>
      <w:r>
        <w:t xml:space="preserve">Data Layer</w:t>
      </w:r>
      <w:r>
        <w:tab/>
      </w:r>
      <w:r>
        <w:t>9</w:t>
      </w:r>
    </w:p>
    <w:p>
      <w:pPr>
        <w:pStyle w:val="TOCLine3"/>
      </w:pPr>
      <w:r>
        <w:t xml:space="preserve">DynamoDB Weather Snapshot Table</w:t>
      </w:r>
      <w:r>
        <w:tab/>
      </w:r>
      <w:r>
        <w:t>9</w:t>
      </w:r>
    </w:p>
    <w:p>
      <w:pPr>
        <w:pStyle w:val="TOCLine3"/>
      </w:pPr>
      <w:r>
        <w:t xml:space="preserve">SQS Work Queues and Dead-Letter Queues</w:t>
      </w:r>
      <w:r>
        <w:tab/>
      </w:r>
      <w:r>
        <w:t>9</w:t>
      </w:r>
    </w:p>
    <w:p>
      <w:pPr>
        <w:pStyle w:val="TOCLine3"/>
      </w:pPr>
      <w:r>
        <w:t xml:space="preserve">SNS Topics</w:t>
      </w:r>
      <w:r>
        <w:tab/>
      </w:r>
      <w:r>
        <w:t>10</w:t>
      </w:r>
    </w:p>
    <w:p>
      <w:pPr>
        <w:pStyle w:val="TOCLine2"/>
      </w:pPr>
      <w:r>
        <w:t xml:space="preserve">Identity and Access Management</w:t>
      </w:r>
      <w:r>
        <w:tab/>
      </w:r>
      <w:r>
        <w:t>11</w:t>
      </w:r>
    </w:p>
    <w:p>
      <w:pPr>
        <w:pStyle w:val="TOCLine3"/>
      </w:pPr>
      <w:r>
        <w:t xml:space="preserve">One Execution Role per Function</w:t>
      </w:r>
      <w:r>
        <w:tab/>
      </w:r>
      <w:r>
        <w:t>11</w:t>
      </w:r>
    </w:p>
    <w:p>
      <w:pPr>
        <w:pStyle w:val="TOCLine3"/>
      </w:pPr>
      <w:r>
        <w:t xml:space="preserve">Least-Privilege Policy Verification</w:t>
      </w:r>
      <w:r>
        <w:tab/>
      </w:r>
      <w:r>
        <w:t>11</w:t>
      </w:r>
    </w:p>
    <w:p>
      <w:pPr>
        <w:pStyle w:val="TOCLine2"/>
      </w:pPr>
      <w:r>
        <w:t xml:space="preserve">Compute Layer</w:t>
      </w:r>
      <w:r>
        <w:tab/>
      </w:r>
      <w:r>
        <w:t>12</w:t>
      </w:r>
    </w:p>
    <w:p>
      <w:pPr>
        <w:pStyle w:val="TOCLine3"/>
      </w:pPr>
      <w:r>
        <w:t xml:space="preserve">Deployment Packaging</w:t>
      </w:r>
      <w:r>
        <w:tab/>
      </w:r>
      <w:r>
        <w:t>12</w:t>
      </w:r>
    </w:p>
    <w:p>
      <w:pPr>
        <w:pStyle w:val="TOCLine3"/>
      </w:pPr>
      <w:r>
        <w:t xml:space="preserve">Function Creation</w:t>
      </w:r>
      <w:r>
        <w:tab/>
      </w:r>
      <w:r>
        <w:t>13</w:t>
      </w:r>
    </w:p>
    <w:p>
      <w:pPr>
        <w:pStyle w:val="TOCLine3"/>
      </w:pPr>
      <w:r>
        <w:t xml:space="preserve">Event Source Mappings and Concurrency Allocation</w:t>
      </w:r>
      <w:r>
        <w:tab/>
      </w:r>
      <w:r>
        <w:t>14</w:t>
      </w:r>
    </w:p>
    <w:p>
      <w:pPr>
        <w:pStyle w:val="TOCLine2"/>
      </w:pPr>
      <w:r>
        <w:t xml:space="preserve">API Layer</w:t>
      </w:r>
      <w:r>
        <w:tab/>
      </w:r>
      <w:r>
        <w:t>15</w:t>
      </w:r>
    </w:p>
    <w:p>
      <w:pPr>
        <w:pStyle w:val="TOCLine3"/>
      </w:pPr>
      <w:r>
        <w:t xml:space="preserve">REST API and Resource Tree</w:t>
      </w:r>
      <w:r>
        <w:tab/>
      </w:r>
      <w:r>
        <w:t>15</w:t>
      </w:r>
    </w:p>
    <w:p>
      <w:pPr>
        <w:pStyle w:val="TOCLine3"/>
      </w:pPr>
      <w:r>
        <w:t xml:space="preserve">Integrations and Invoke Permissions</w:t>
      </w:r>
      <w:r>
        <w:tab/>
      </w:r>
      <w:r>
        <w:t>16</w:t>
      </w:r>
    </w:p>
    <w:p>
      <w:pPr>
        <w:pStyle w:val="TOCLine3"/>
      </w:pPr>
      <w:r>
        <w:t xml:space="preserve">Stage Deployment and Tracing</w:t>
      </w:r>
      <w:r>
        <w:tab/>
      </w:r>
      <w:r>
        <w:t>17</w:t>
      </w:r>
    </w:p>
    <w:p>
      <w:pPr>
        <w:pStyle w:val="TOCLine2"/>
      </w:pPr>
      <w:r>
        <w:t xml:space="preserve">Event Sources</w:t>
      </w:r>
      <w:r>
        <w:tab/>
      </w:r>
      <w:r>
        <w:t>17</w:t>
      </w:r>
    </w:p>
    <w:p>
      <w:pPr>
        <w:pStyle w:val="TOCLine3"/>
      </w:pPr>
      <w:r>
        <w:t xml:space="preserve">EventBridge Schedule</w:t>
      </w:r>
      <w:r>
        <w:tab/>
      </w:r>
      <w:r>
        <w:t>17</w:t>
      </w:r>
    </w:p>
    <w:p>
      <w:pPr>
        <w:pStyle w:val="TOCLine3"/>
      </w:pPr>
      <w:r>
        <w:t xml:space="preserve">S3 Object-Created Notification</w:t>
      </w:r>
      <w:r>
        <w:tab/>
      </w:r>
      <w:r>
        <w:t>18</w:t>
      </w:r>
    </w:p>
    <w:p>
      <w:pPr>
        <w:pStyle w:val="TOCLine2"/>
      </w:pPr>
      <w:r>
        <w:t xml:space="preserve">Front Door</w:t>
      </w:r>
      <w:r>
        <w:tab/>
      </w:r>
      <w:r>
        <w:t>19</w:t>
      </w:r>
    </w:p>
    <w:p>
      <w:pPr>
        <w:pStyle w:val="TOCLine3"/>
      </w:pPr>
      <w:r>
        <w:t xml:space="preserve">CloudFront Serverless Behaviour</w:t>
      </w:r>
      <w:r>
        <w:tab/>
      </w:r>
      <w:r>
        <w:t>19</w:t>
      </w:r>
    </w:p>
    <w:p>
      <w:pPr>
        <w:pStyle w:val="TOCLine2"/>
      </w:pPr>
      <w:r>
        <w:t xml:space="preserve">Microservice Source and Interaction</w:t>
      </w:r>
      <w:r>
        <w:tab/>
      </w:r>
      <w:r>
        <w:t>20</w:t>
      </w:r>
    </w:p>
    <w:p>
      <w:pPr>
        <w:pStyle w:val="TOCLine2"/>
      </w:pPr>
      <w:r>
        <w:t xml:space="preserve">System Functionality Post-Implementation</w:t>
      </w:r>
      <w:r>
        <w:tab/>
      </w:r>
      <w:r>
        <w:t>21</w:t>
      </w:r>
    </w:p>
    <w:p>
      <w:pPr>
        <w:pStyle w:val="TOCLine1"/>
      </w:pPr>
      <w:r>
        <w:t xml:space="preserve">Results and Discussion</w:t>
      </w:r>
      <w:r>
        <w:tab/>
      </w:r>
      <w:r>
        <w:t>22</w:t>
      </w:r>
    </w:p>
    <w:p>
      <w:pPr>
        <w:pStyle w:val="TOCLine2"/>
      </w:pPr>
      <w:r>
        <w:t xml:space="preserve">End-to-End Verification</w:t>
      </w:r>
      <w:r>
        <w:tab/>
      </w:r>
      <w:r>
        <w:t>22</w:t>
      </w:r>
    </w:p>
    <w:p>
      <w:pPr>
        <w:pStyle w:val="TOCLine2"/>
      </w:pPr>
      <w:r>
        <w:t xml:space="preserve">Monitoring Coverage</w:t>
      </w:r>
      <w:r>
        <w:tab/>
      </w:r>
      <w:r>
        <w:t>23</w:t>
      </w:r>
    </w:p>
    <w:p>
      <w:pPr>
        <w:pStyle w:val="TOCLine2"/>
      </w:pPr>
      <w:r>
        <w:t xml:space="preserve">Measured Performance of the Serverless Tier</w:t>
      </w:r>
      <w:r>
        <w:tab/>
      </w:r>
      <w:r>
        <w:t>25</w:t>
      </w:r>
    </w:p>
    <w:p>
      <w:pPr>
        <w:pStyle w:val="TOCLine2"/>
      </w:pPr>
      <w:r>
        <w:t xml:space="preserve">Measured Performance of the Server Tier and Data Stores</w:t>
      </w:r>
      <w:r>
        <w:tab/>
      </w:r>
      <w:r>
        <w:t>26</w:t>
      </w:r>
    </w:p>
    <w:p>
      <w:pPr>
        <w:pStyle w:val="TOCLine2"/>
      </w:pPr>
      <w:r>
        <w:t xml:space="preserve">A Concurrency Limit Discovered Through Monitoring</w:t>
      </w:r>
      <w:r>
        <w:tab/>
      </w:r>
      <w:r>
        <w:t>26</w:t>
      </w:r>
    </w:p>
    <w:p>
      <w:pPr>
        <w:pStyle w:val="TOCLine2"/>
      </w:pPr>
      <w:r>
        <w:t xml:space="preserve">Distributed Tracing With AWS X-Ray</w:t>
      </w:r>
      <w:r>
        <w:tab/>
      </w:r>
      <w:r>
        <w:t>27</w:t>
      </w:r>
    </w:p>
    <w:p>
      <w:pPr>
        <w:pStyle w:val="TOCLine2"/>
      </w:pPr>
      <w:r>
        <w:t xml:space="preserve">Functional Evidence From the Event Pipelines</w:t>
      </w:r>
      <w:r>
        <w:tab/>
      </w:r>
      <w:r>
        <w:t>29</w:t>
      </w:r>
    </w:p>
    <w:p>
      <w:pPr>
        <w:pStyle w:val="TOCLine2"/>
      </w:pPr>
      <w:r>
        <w:t xml:space="preserve">Discussion</w:t>
      </w:r>
      <w:r>
        <w:tab/>
      </w:r>
      <w:r>
        <w:t>29</w:t>
      </w:r>
    </w:p>
    <w:p>
      <w:pPr>
        <w:pStyle w:val="TOCLine1"/>
      </w:pPr>
      <w:r>
        <w:t xml:space="preserve">Reflection From Each Member</w:t>
      </w:r>
      <w:r>
        <w:tab/>
      </w:r>
      <w:r>
        <w:t>30</w:t>
      </w:r>
    </w:p>
    <w:p>
      <w:pPr>
        <w:pStyle w:val="TOCLine1"/>
      </w:pPr>
      <w:r>
        <w:t xml:space="preserve">New Workload Table Matrix</w:t>
      </w:r>
      <w:r>
        <w:tab/>
      </w:r>
      <w:r>
        <w:t>32</w:t>
      </w:r>
    </w:p>
    <w:p>
      <w:pPr>
        <w:pStyle w:val="TOCLine1"/>
      </w:pPr>
      <w:r>
        <w:t xml:space="preserve">References</w:t>
      </w:r>
      <w:r>
        <w:tab/>
      </w:r>
      <w:r>
        <w:t>34</w:t>
      </w:r>
    </w:p>
    <w:p>
      <w:r>
        <w:br w:type="page"/>
      </w:r>
    </w:p>
    <w:bookmarkStart w:id="28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Flooding is among the most destructive recurring natural hazards, and the interval</w:t>
      </w:r>
      <w:r>
        <w:t xml:space="preserve"> </w:t>
      </w:r>
      <w:r>
        <w:t xml:space="preserve">between a rising river and a warned population is often measured in minutes rather</w:t>
      </w:r>
      <w:r>
        <w:t xml:space="preserve"> </w:t>
      </w:r>
      <w:r>
        <w:t xml:space="preserve">than hours. FloodGuard addresses Problem Background 4 by providing a cloud-native</w:t>
      </w:r>
      <w:r>
        <w:t xml:space="preserve"> </w:t>
      </w:r>
      <w:r>
        <w:t xml:space="preserve">early warning and emergency response platform for residents, volunteers, and</w:t>
      </w:r>
      <w:r>
        <w:t xml:space="preserve"> </w:t>
      </w:r>
      <w:r>
        <w:t xml:space="preserve">municipal authorities. Task 1 delivered a working server-based implementation of</w:t>
      </w:r>
      <w:r>
        <w:t xml:space="preserve"> </w:t>
      </w:r>
      <w:r>
        <w:t xml:space="preserve">that platform. Task 2, documented in this report, extends it with a serverless,</w:t>
      </w:r>
      <w:r>
        <w:t xml:space="preserve"> </w:t>
      </w:r>
      <w:r>
        <w:t xml:space="preserve">event-driven tier, refactors the background processing into independently</w:t>
      </w:r>
      <w:r>
        <w:t xml:space="preserve"> </w:t>
      </w:r>
      <w:r>
        <w:t xml:space="preserve">deployable microservices, and adds the monitoring instrumentation needed to</w:t>
      </w:r>
      <w:r>
        <w:t xml:space="preserve"> </w:t>
      </w:r>
      <w:r>
        <w:t xml:space="preserve">evaluate the result.</w:t>
      </w:r>
    </w:p>
    <w:p>
      <w:pPr>
        <w:pStyle w:val="BodyText"/>
      </w:pPr>
      <w:r>
        <w:t xml:space="preserve">The report has three objectives. First, it summarises the system inherited from</w:t>
      </w:r>
      <w:r>
        <w:t xml:space="preserve"> </w:t>
      </w:r>
      <w:r>
        <w:t xml:space="preserve">Task 1 and states precisely how the architecture was expanded and why. Second, it</w:t>
      </w:r>
      <w:r>
        <w:t xml:space="preserve"> </w:t>
      </w:r>
      <w:r>
        <w:t xml:space="preserve">documents the implementation of the serverless components and of the microservices</w:t>
      </w:r>
      <w:r>
        <w:t xml:space="preserve"> </w:t>
      </w:r>
      <w:r>
        <w:t xml:space="preserve">that consume Amazon Simple Storage Service (S3), Amazon Simple Notification Service</w:t>
      </w:r>
      <w:r>
        <w:t xml:space="preserve"> </w:t>
      </w:r>
      <w:r>
        <w:t xml:space="preserve">(SNS), and Amazon Simple Queue Service (SQS). Third, it presents monitoring evidence</w:t>
      </w:r>
      <w:r>
        <w:t xml:space="preserve"> </w:t>
      </w:r>
      <w:r>
        <w:t xml:space="preserve">gathered from Amazon CloudWatch and AWS X-Ray and discusses what that evidence</w:t>
      </w:r>
      <w:r>
        <w:t xml:space="preserve"> </w:t>
      </w:r>
      <w:r>
        <w:t xml:space="preserve">reveals about the performance of the expanded system. Every resource described was</w:t>
      </w:r>
      <w:r>
        <w:t xml:space="preserve"> </w:t>
      </w:r>
      <w:r>
        <w:t xml:space="preserve">deployed to a single AWS account in the us-east-1 region and verified live before</w:t>
      </w:r>
      <w:r>
        <w:t xml:space="preserve"> </w:t>
      </w:r>
      <w:r>
        <w:t xml:space="preserve">this report was written.</w:t>
      </w:r>
    </w:p>
    <w:bookmarkStart w:id="20" w:name="task-1-existing-system-summary"/>
    <w:p>
      <w:pPr>
        <w:pStyle w:val="Heading2"/>
      </w:pPr>
      <w:r>
        <w:t xml:space="preserve">Task 1 Existing System Summary</w:t>
      </w:r>
    </w:p>
    <w:p>
      <w:pPr>
        <w:pStyle w:val="FirstParagraph"/>
      </w:pPr>
      <w:r>
        <w:t xml:space="preserve">Task 1 produced a two-tier server-based deployment. A Next.js frontend and a NestJS</w:t>
      </w:r>
      <w:r>
        <w:t xml:space="preserve"> </w:t>
      </w:r>
      <w:r>
        <w:t xml:space="preserve">application server were each hosted on AWS Elastic Beanstalk, backed by a single</w:t>
      </w:r>
      <w:r>
        <w:t xml:space="preserve"> </w:t>
      </w:r>
      <w:r>
        <w:t xml:space="preserve">Amazon Relational Database Service (RDS) instance running PostgreSQL 16. Three</w:t>
      </w:r>
      <w:r>
        <w:t xml:space="preserve"> </w:t>
      </w:r>
      <w:r>
        <w:t xml:space="preserve">separate Amazon CloudFront distributions fronted the deployment.</w:t>
      </w:r>
    </w:p>
    <w:p>
      <w:pPr>
        <w:pStyle w:val="BodyText"/>
      </w:pPr>
      <w:r>
        <w:t xml:space="preserve">All background processing ran inside the application server. Weather polling, flood</w:t>
      </w:r>
      <w:r>
        <w:t xml:space="preserve"> </w:t>
      </w:r>
      <w:r>
        <w:t xml:space="preserve">risk scoring, and alert creation were executed by an in-process scheduled task. The</w:t>
      </w:r>
      <w:r>
        <w:t xml:space="preserve"> </w:t>
      </w:r>
      <w:r>
        <w:t xml:space="preserve">design was functional but structurally constrained in three respects: background</w:t>
      </w:r>
      <w:r>
        <w:t xml:space="preserve"> </w:t>
      </w:r>
      <w:r>
        <w:t xml:space="preserve">work competed with user requests for the same compute resources, the scheduled task</w:t>
      </w:r>
      <w:r>
        <w:t xml:space="preserve"> </w:t>
      </w:r>
      <w:r>
        <w:t xml:space="preserve">could not scale independently of the web workload, and the scheduler would have</w:t>
      </w:r>
      <w:r>
        <w:t xml:space="preserve"> </w:t>
      </w:r>
      <w:r>
        <w:t xml:space="preserve">produced duplicate alerts had the environment ever scaled beyond one instance.</w:t>
      </w:r>
      <w:r>
        <w:t xml:space="preserve"> </w:t>
      </w:r>
      <w:r>
        <w:t xml:space="preserve">Table 1 summarises the inherited components.</w:t>
      </w:r>
    </w:p>
    <w:p>
      <w:pPr>
        <w:pStyle w:val="FigNum"/>
      </w:pPr>
      <w:r>
        <w:t xml:space="preserve">Table 1</w:t>
      </w:r>
    </w:p>
    <w:p>
      <w:pPr>
        <w:pStyle w:val="FigTitle"/>
      </w:pPr>
      <w:r>
        <w:t xml:space="preserve">Components Inherited From the Task 1 Server-Based Deployment</w:t>
      </w:r>
    </w:p>
    <w:tbl>
      <w:tblPr>
        <w:tblStyle w:val="Table"/>
        <w:tblW w:w="9216" w:type="dxa"/>
        <w:jc w:val="start"/>
        <w:tbl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500"/>
        <w:gridCol w:w="1721"/>
        <w:gridCol w:w="2936"/>
        <w:gridCol w:w="3059"/>
      </w:tblGrid>
      <w:tr>
        <w:trPr>
          <w:tblHeader w:val="true"/>
        </w:trPr>
        <w:tc>
          <w:tcPr>
            <w:tcW w:w="1500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Tier</w:t>
            </w:r>
          </w:p>
        </w:tc>
        <w:tc>
          <w:tcPr>
            <w:tcW w:w="1721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w="2936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Configuration</w:t>
            </w:r>
          </w:p>
        </w:tc>
        <w:tc>
          <w:tcPr>
            <w:tcW w:w="3059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w="1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Presentation</w:t>
            </w:r>
          </w:p>
        </w:tc>
        <w:tc>
          <w:tcPr>
            <w:tcW w:w="17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Elastic Beanstalk</w:t>
            </w:r>
          </w:p>
        </w:tc>
        <w:tc>
          <w:tcPr>
            <w:tcW w:w="29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Next.js 16, single instance</w:t>
            </w:r>
          </w:p>
        </w:tc>
        <w:tc>
          <w:tcPr>
            <w:tcW w:w="30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Server-rendered web interface</w:t>
            </w:r>
          </w:p>
        </w:tc>
      </w:tr>
      <w:tr>
        <w:tc>
          <w:tcPr>
            <w:tcW w:w="1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Application</w:t>
            </w:r>
          </w:p>
        </w:tc>
        <w:tc>
          <w:tcPr>
            <w:tcW w:w="17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Elastic Beanstalk</w:t>
            </w:r>
          </w:p>
        </w:tc>
        <w:tc>
          <w:tcPr>
            <w:tcW w:w="29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NestJS 11, load balanced</w:t>
            </w:r>
          </w:p>
        </w:tc>
        <w:tc>
          <w:tcPr>
            <w:tcW w:w="30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Business logic and REST interface</w:t>
            </w:r>
          </w:p>
        </w:tc>
      </w:tr>
      <w:tr>
        <w:tc>
          <w:tcPr>
            <w:tcW w:w="1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w="17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Amazon RDS</w:t>
            </w:r>
          </w:p>
        </w:tc>
        <w:tc>
          <w:tcPr>
            <w:tcW w:w="29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PostgreSQL 16.10, db.t3.micro</w:t>
            </w:r>
          </w:p>
        </w:tc>
        <w:tc>
          <w:tcPr>
            <w:tcW w:w="30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Relational persistence</w:t>
            </w:r>
          </w:p>
        </w:tc>
      </w:tr>
      <w:tr>
        <w:tc>
          <w:tcPr>
            <w:tcW w:w="1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Delivery</w:t>
            </w:r>
          </w:p>
        </w:tc>
        <w:tc>
          <w:tcPr>
            <w:tcW w:w="17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Amazon CloudFront</w:t>
            </w:r>
          </w:p>
        </w:tc>
        <w:tc>
          <w:tcPr>
            <w:tcW w:w="29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Three distributions</w:t>
            </w:r>
          </w:p>
        </w:tc>
        <w:tc>
          <w:tcPr>
            <w:tcW w:w="30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Transport security and caching</w:t>
            </w:r>
          </w:p>
        </w:tc>
      </w:tr>
      <w:tr>
        <w:tc>
          <w:tcPr>
            <w:tcW w:w="1500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Scheduling</w:t>
            </w:r>
          </w:p>
        </w:tc>
        <w:tc>
          <w:tcPr>
            <w:tcW w:w="1721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In-process cron</w:t>
            </w:r>
          </w:p>
        </w:tc>
        <w:tc>
          <w:tcPr>
            <w:tcW w:w="2936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Ten-minute interval</w:t>
            </w:r>
          </w:p>
        </w:tc>
        <w:tc>
          <w:tcPr>
            <w:tcW w:w="3059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Weather polling and alerting</w:t>
            </w:r>
          </w:p>
        </w:tc>
      </w:tr>
    </w:tbl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The scheduling row identifies the only component wholly replaced in Task 2. All other rows were retained and extended rather than rebuilt.</w:t>
      </w:r>
    </w:p>
    <w:bookmarkEnd w:id="20"/>
    <w:bookmarkStart w:id="24" w:name="proposed-cloud-architecture"/>
    <w:p>
      <w:pPr>
        <w:pStyle w:val="Heading2"/>
      </w:pPr>
      <w:r>
        <w:t xml:space="preserve">Proposed Cloud Architecture</w:t>
      </w:r>
    </w:p>
    <w:p>
      <w:pPr>
        <w:pStyle w:val="FirstParagraph"/>
      </w:pPr>
      <w:r>
        <w:t xml:space="preserve">The architecture proposed for Task 2 introduces a serverless tier alongside the</w:t>
      </w:r>
      <w:r>
        <w:t xml:space="preserve"> </w:t>
      </w:r>
      <w:r>
        <w:t xml:space="preserve">retained server tier, on the principle that workloads with different scaling</w:t>
      </w:r>
      <w:r>
        <w:t xml:space="preserve"> </w:t>
      </w:r>
      <w:r>
        <w:t xml:space="preserve">characteristics should not share a compute boundary. Scheduled ingestion, risk</w:t>
      </w:r>
      <w:r>
        <w:t xml:space="preserve"> </w:t>
      </w:r>
      <w:r>
        <w:t xml:space="preserve">scoring, and notification fan-out are episodic and bursty, whereas the web and</w:t>
      </w:r>
      <w:r>
        <w:t xml:space="preserve"> </w:t>
      </w:r>
      <w:r>
        <w:t xml:space="preserve">application tiers serve steady interactive traffic. Separating them allows each to</w:t>
      </w:r>
      <w:r>
        <w:t xml:space="preserve"> </w:t>
      </w:r>
      <w:r>
        <w:t xml:space="preserve">scale on its own signal, which Newman (2021) identified as the primary operational</w:t>
      </w:r>
      <w:r>
        <w:t xml:space="preserve"> </w:t>
      </w:r>
      <w:r>
        <w:t xml:space="preserve">benefit of service decomposition.</w:t>
      </w:r>
    </w:p>
    <w:p>
      <w:pPr>
        <w:pStyle w:val="BodyText"/>
      </w:pPr>
      <w:r>
        <w:t xml:space="preserve">The design consolidates the three CloudFront distributions into one distribution</w:t>
      </w:r>
      <w:r>
        <w:t xml:space="preserve"> </w:t>
      </w:r>
      <w:r>
        <w:t xml:space="preserve">with path-based routing to three origins. It places Amazon API Gateway in front of</w:t>
      </w:r>
      <w:r>
        <w:t xml:space="preserve"> </w:t>
      </w:r>
      <w:r>
        <w:t xml:space="preserve">a set of AWS Lambda functions rather than in front of the existing application</w:t>
      </w:r>
      <w:r>
        <w:t xml:space="preserve"> </w:t>
      </w:r>
      <w:r>
        <w:t xml:space="preserve">server, because only that arrangement makes the functions independently addressable</w:t>
      </w:r>
      <w:r>
        <w:t xml:space="preserve"> </w:t>
      </w:r>
      <w:r>
        <w:t xml:space="preserve">services. It introduces Amazon DynamoDB for append-only weather time-series data,</w:t>
      </w:r>
      <w:r>
        <w:t xml:space="preserve"> </w:t>
      </w:r>
      <w:r>
        <w:t xml:space="preserve">SQS for decoupling the processing stages, and SNS for alert fan-out. Figure 1</w:t>
      </w:r>
      <w:r>
        <w:t xml:space="preserve"> </w:t>
      </w:r>
      <w:r>
        <w:t xml:space="preserve">presents the resulting architecture as deployed.</w:t>
      </w:r>
    </w:p>
    <w:p>
      <w:pPr>
        <w:pStyle w:val="FigNum"/>
      </w:pPr>
      <w:r>
        <w:t xml:space="preserve">Figure 1</w:t>
      </w:r>
    </w:p>
    <w:p>
      <w:pPr>
        <w:pStyle w:val="FigTitle"/>
      </w:pPr>
      <w:r>
        <w:t xml:space="preserve">FloodGuard Task 2 As-Built Cloud Architecture</w:t>
      </w:r>
    </w:p>
    <w:p>
      <w:pPr>
        <w:pStyle w:val="FigImage"/>
      </w:pPr>
      <w:r>
        <w:drawing>
          <wp:inline>
            <wp:extent cx="5852160" cy="335967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s/as-built-architectu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35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The diagram was generated from the deployed resource inventory rather than from the design proposal, so every component shown corresponds to a provisioned resource. Solid arrows denote synchronous request flow and dashed arrows denote authenticated service-to-service calls.</w:t>
      </w:r>
    </w:p>
    <w:bookmarkEnd w:id="24"/>
    <w:bookmarkStart w:id="25" w:name="changes-made-to-the-architecture"/>
    <w:p>
      <w:pPr>
        <w:pStyle w:val="Heading2"/>
      </w:pPr>
      <w:r>
        <w:t xml:space="preserve">Changes Made to the Architecture</w:t>
      </w:r>
    </w:p>
    <w:p>
      <w:pPr>
        <w:pStyle w:val="FirstParagraph"/>
      </w:pPr>
      <w:r>
        <w:t xml:space="preserve">Reviewing the proposed design against the Task 1 codebase before implementation</w:t>
      </w:r>
      <w:r>
        <w:t xml:space="preserve"> </w:t>
      </w:r>
      <w:r>
        <w:t xml:space="preserve">identified several elements that would not have worked as first drawn. Each was</w:t>
      </w:r>
      <w:r>
        <w:t xml:space="preserve"> </w:t>
      </w:r>
      <w:r>
        <w:t xml:space="preserve">corrected, and those corrections constitute the substantive architectural change</w:t>
      </w:r>
      <w:r>
        <w:t xml:space="preserve"> </w:t>
      </w:r>
      <w:r>
        <w:t xml:space="preserve">between the two tasks. Table 2 records them.</w:t>
      </w:r>
    </w:p>
    <w:p>
      <w:pPr>
        <w:pStyle w:val="FigNum"/>
      </w:pPr>
      <w:r>
        <w:t xml:space="preserve">Table 2</w:t>
      </w:r>
    </w:p>
    <w:p>
      <w:pPr>
        <w:pStyle w:val="FigTitle"/>
      </w:pPr>
      <w:r>
        <w:t xml:space="preserve">Architectural Changes Between Task 1 and Task 2</w:t>
      </w:r>
    </w:p>
    <w:tbl>
      <w:tblPr>
        <w:tblStyle w:val="Table"/>
        <w:tblW w:w="9216" w:type="dxa"/>
        <w:jc w:val="start"/>
        <w:tbl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395"/>
        <w:gridCol w:w="3992"/>
        <w:gridCol w:w="3829"/>
      </w:tblGrid>
      <w:tr>
        <w:trPr>
          <w:tblHeader w:val="true"/>
        </w:trPr>
        <w:tc>
          <w:tcPr>
            <w:tcW w:w="1395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Element</w:t>
            </w:r>
          </w:p>
        </w:tc>
        <w:tc>
          <w:tcPr>
            <w:tcW w:w="3992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Issue identified</w:t>
            </w:r>
          </w:p>
        </w:tc>
        <w:tc>
          <w:tcPr>
            <w:tcW w:w="3829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Gateway placement</w:t>
            </w:r>
          </w:p>
        </w:tc>
        <w:tc>
          <w:tcPr>
            <w:tcW w:w="39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Positioned in front of Elastic Beanstalk, adding a network hop without adding capability, so no request would ever reach a function</w:t>
            </w:r>
          </w:p>
        </w:tc>
        <w:tc>
          <w:tcPr>
            <w:tcW w:w="38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API Gateway placed in front of the Lambda functions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Gateway protocol</w:t>
            </w:r>
          </w:p>
        </w:tc>
        <w:tc>
          <w:tcPr>
            <w:tcW w:w="39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HTTP APIs emit no X-Ray trace segments, and tracing evidence is required by this task</w:t>
            </w:r>
          </w:p>
        </w:tc>
        <w:tc>
          <w:tcPr>
            <w:tcW w:w="38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REST API version 1 selected, which emits trace segments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Trigger chain</w:t>
            </w:r>
          </w:p>
        </w:tc>
        <w:tc>
          <w:tcPr>
            <w:tcW w:w="39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EventBridge was drawn as publishing directly to SQS, but a scheduled tick carries no per-item work to distribute</w:t>
            </w:r>
          </w:p>
        </w:tc>
        <w:tc>
          <w:tcPr>
            <w:tcW w:w="38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Reordered to EventBridge, then Lambda, then SQS, then Lambda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Queue topology</w:t>
            </w:r>
          </w:p>
        </w:tc>
        <w:tc>
          <w:tcPr>
            <w:tcW w:w="39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Work queue and dead-letter queue were drawn as one component, concealing the redrive mechanism</w:t>
            </w:r>
          </w:p>
        </w:tc>
        <w:tc>
          <w:tcPr>
            <w:tcW w:w="38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Four queues provisioned: two work queues and two dead-letter queues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S3 integration</w:t>
            </w:r>
          </w:p>
        </w:tc>
        <w:tc>
          <w:tcPr>
            <w:tcW w:w="39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S3 was drawn as a passive store with no event wiring</w:t>
            </w:r>
          </w:p>
        </w:tc>
        <w:tc>
          <w:tcPr>
            <w:tcW w:w="38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Object-created notification invokes an image verification function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DynamoDB purpose</w:t>
            </w:r>
          </w:p>
        </w:tc>
        <w:tc>
          <w:tcPr>
            <w:tcW w:w="39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Intended to hold live risk levels already authoritative in PostgreSQL, creating a dual write with no owner</w:t>
            </w:r>
          </w:p>
        </w:tc>
        <w:tc>
          <w:tcPr>
            <w:tcW w:w="38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Repurposed for append-only weather time series with a 30-day expiry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Database exposure</w:t>
            </w:r>
          </w:p>
        </w:tc>
        <w:tc>
          <w:tcPr>
            <w:tcW w:w="3992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Multi-availability-zone deployment in private subnets exceeded the available budget and required a network address translation gateway</w:t>
            </w:r>
          </w:p>
        </w:tc>
        <w:tc>
          <w:tcPr>
            <w:tcW w:w="3829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Single availability zone retained, with a two-zone subnet group so promotion remains one API call</w:t>
            </w:r>
          </w:p>
        </w:tc>
      </w:tr>
    </w:tbl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Every resolution listed was implemented and verified rather than proposed. The protocol decision recorded in the second row is discussed further under Stage Deployment and Tracing.</w:t>
      </w:r>
    </w:p>
    <w:p>
      <w:pPr>
        <w:pStyle w:val="BodyText"/>
      </w:pPr>
      <w:r>
        <w:t xml:space="preserve">Two latent defects in the inherited system were corrected at the same time. The</w:t>
      </w:r>
      <w:r>
        <w:t xml:space="preserve"> </w:t>
      </w:r>
      <w:r>
        <w:t xml:space="preserve">first concerned duplicate alerting. Because the in-process scheduler executes on</w:t>
      </w:r>
      <w:r>
        <w:t xml:space="preserve"> </w:t>
      </w:r>
      <w:r>
        <w:t xml:space="preserve">every running instance, and because the Task 1 configuration constrained instance</w:t>
      </w:r>
      <w:r>
        <w:t xml:space="preserve"> </w:t>
      </w:r>
      <w:r>
        <w:t xml:space="preserve">type but not instance count, the first autoscaling event would have delivered every</w:t>
      </w:r>
      <w:r>
        <w:t xml:space="preserve"> </w:t>
      </w:r>
      <w:r>
        <w:t xml:space="preserve">flood alert twice to real subscribers. Relocating the trigger to Amazon EventBridge</w:t>
      </w:r>
      <w:r>
        <w:t xml:space="preserve"> </w:t>
      </w:r>
      <w:r>
        <w:t xml:space="preserve">Scheduler resolves this, since the scheduler fires once irrespective of fleet size.</w:t>
      </w:r>
      <w:r>
        <w:t xml:space="preserve"> </w:t>
      </w:r>
      <w:r>
        <w:t xml:space="preserve">The second defect concerned credential handling: the Task 1 deployment</w:t>
      </w:r>
      <w:r>
        <w:t xml:space="preserve"> </w:t>
      </w:r>
      <w:r>
        <w:t xml:space="preserve">configuration contained the live database password and token signing secret, which</w:t>
      </w:r>
      <w:r>
        <w:t xml:space="preserve"> </w:t>
      </w:r>
      <w:r>
        <w:t xml:space="preserve">committed both permanently to version control. Credentials are now generated into</w:t>
      </w:r>
      <w:r>
        <w:t xml:space="preserve"> </w:t>
      </w:r>
      <w:r>
        <w:t xml:space="preserve">AWS Secrets Manager and injected at deployment time.</w:t>
      </w:r>
    </w:p>
    <w:bookmarkEnd w:id="25"/>
    <w:bookmarkStart w:id="26" w:name="microservices-design"/>
    <w:p>
      <w:pPr>
        <w:pStyle w:val="Heading2"/>
      </w:pPr>
      <w:r>
        <w:t xml:space="preserve">Microservices Design</w:t>
      </w:r>
    </w:p>
    <w:p>
      <w:pPr>
        <w:pStyle w:val="FirstParagraph"/>
      </w:pPr>
      <w:r>
        <w:t xml:space="preserve">Six Lambda functions were implemented. Each carries its own least-privilege</w:t>
      </w:r>
      <w:r>
        <w:t xml:space="preserve"> </w:t>
      </w:r>
      <w:r>
        <w:t xml:space="preserve">execution role, an arrangement that matters because the functions do not hold</w:t>
      </w:r>
      <w:r>
        <w:t xml:space="preserve"> </w:t>
      </w:r>
      <w:r>
        <w:t xml:space="preserve">equivalent trust. A single shared role would grant the unauthenticated public</w:t>
      </w:r>
      <w:r>
        <w:t xml:space="preserve"> </w:t>
      </w:r>
      <w:r>
        <w:t xml:space="preserve">intake endpoint permission to publish alerts to every subscriber, which is a</w:t>
      </w:r>
      <w:r>
        <w:t xml:space="preserve"> </w:t>
      </w:r>
      <w:r>
        <w:t xml:space="preserve">privilege escalation path rather than a convenience. Table 3 states the boundary,</w:t>
      </w:r>
      <w:r>
        <w:t xml:space="preserve"> </w:t>
      </w:r>
      <w:r>
        <w:t xml:space="preserve">trigger, and integration of each service.</w:t>
      </w:r>
    </w:p>
    <w:p>
      <w:pPr>
        <w:pStyle w:val="FigNum"/>
      </w:pPr>
      <w:r>
        <w:t xml:space="preserve">Table 3</w:t>
      </w:r>
    </w:p>
    <w:p>
      <w:pPr>
        <w:pStyle w:val="FigTitle"/>
      </w:pPr>
      <w:r>
        <w:t xml:space="preserve">Microservice Boundaries, Triggers, and AWS Service Integrations</w:t>
      </w:r>
    </w:p>
    <w:tbl>
      <w:tblPr>
        <w:tblStyle w:val="Table"/>
        <w:tblW w:w="9216" w:type="dxa"/>
        <w:jc w:val="start"/>
        <w:tbl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025"/>
        <w:gridCol w:w="1536"/>
        <w:gridCol w:w="1859"/>
        <w:gridCol w:w="3796"/>
      </w:tblGrid>
      <w:tr>
        <w:trPr>
          <w:tblHeader w:val="true"/>
        </w:trPr>
        <w:tc>
          <w:tcPr>
            <w:tcW w:w="2025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Function</w:t>
            </w:r>
          </w:p>
        </w:tc>
        <w:tc>
          <w:tcPr>
            <w:tcW w:w="1536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w="1859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Integrates with</w:t>
            </w:r>
          </w:p>
        </w:tc>
        <w:tc>
          <w:tcPr>
            <w:tcW w:w="3796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w="20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fg-weather-ingest</w:t>
            </w:r>
          </w:p>
        </w:tc>
        <w:tc>
          <w:tcPr>
            <w:tcW w:w="1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EventBridge, 10 min</w:t>
            </w:r>
          </w:p>
        </w:tc>
        <w:tc>
          <w:tcPr>
            <w:tcW w:w="1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DynamoDB, SQS</w:t>
            </w:r>
          </w:p>
        </w:tc>
        <w:tc>
          <w:tcPr>
            <w:tcW w:w="37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Retrieve forecasts, store snapshot, enqueue one job per region</w:t>
            </w:r>
          </w:p>
        </w:tc>
      </w:tr>
      <w:tr>
        <w:tc>
          <w:tcPr>
            <w:tcW w:w="20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fg-flood-forecast</w:t>
            </w:r>
          </w:p>
        </w:tc>
        <w:tc>
          <w:tcPr>
            <w:tcW w:w="1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SQS work queue</w:t>
            </w:r>
          </w:p>
        </w:tc>
        <w:tc>
          <w:tcPr>
            <w:tcW w:w="1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SQS, internal interface</w:t>
            </w:r>
          </w:p>
        </w:tc>
        <w:tc>
          <w:tcPr>
            <w:tcW w:w="37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Compute composite risk score, enqueue alerts above threshold</w:t>
            </w:r>
          </w:p>
        </w:tc>
      </w:tr>
      <w:tr>
        <w:tc>
          <w:tcPr>
            <w:tcW w:w="20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fg-alert-dispatch</w:t>
            </w:r>
          </w:p>
        </w:tc>
        <w:tc>
          <w:tcPr>
            <w:tcW w:w="1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SQS alert queue</w:t>
            </w:r>
          </w:p>
        </w:tc>
        <w:tc>
          <w:tcPr>
            <w:tcW w:w="1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SNS, internal interface</w:t>
            </w:r>
          </w:p>
        </w:tc>
        <w:tc>
          <w:tcPr>
            <w:tcW w:w="37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Create the alert idempotently, then fan out to subscribers</w:t>
            </w:r>
          </w:p>
        </w:tc>
      </w:tr>
      <w:tr>
        <w:tc>
          <w:tcPr>
            <w:tcW w:w="20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fg-report-intake</w:t>
            </w:r>
          </w:p>
        </w:tc>
        <w:tc>
          <w:tcPr>
            <w:tcW w:w="1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w="1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Internal interface</w:t>
            </w:r>
          </w:p>
        </w:tc>
        <w:tc>
          <w:tcPr>
            <w:tcW w:w="37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Accept unauthenticated public flood reports</w:t>
            </w:r>
          </w:p>
        </w:tc>
      </w:tr>
      <w:tr>
        <w:tc>
          <w:tcPr>
            <w:tcW w:w="20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fg-upload-presign</w:t>
            </w:r>
          </w:p>
        </w:tc>
        <w:tc>
          <w:tcPr>
            <w:tcW w:w="15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w="1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w="37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Issue time-limited presigned upload URLs</w:t>
            </w:r>
          </w:p>
        </w:tc>
      </w:tr>
      <w:tr>
        <w:tc>
          <w:tcPr>
            <w:tcW w:w="2025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fg-image-process</w:t>
            </w:r>
          </w:p>
        </w:tc>
        <w:tc>
          <w:tcPr>
            <w:tcW w:w="1536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S3 object created</w:t>
            </w:r>
          </w:p>
        </w:tc>
        <w:tc>
          <w:tcPr>
            <w:tcW w:w="1859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S3, internal interface</w:t>
            </w:r>
          </w:p>
        </w:tc>
        <w:tc>
          <w:tcPr>
            <w:tcW w:w="3796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Verify the file signature and tag the stored object</w:t>
            </w:r>
          </w:p>
        </w:tc>
      </w:tr>
    </w:tbl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No function opens a connection to PostgreSQL. The application server owns the relational store and exposes an authenticated internal interface, which preserves a single writer per data store.</w:t>
      </w:r>
    </w:p>
    <w:p>
      <w:pPr>
        <w:pStyle w:val="BodyText"/>
      </w:pPr>
      <w:r>
        <w:t xml:space="preserve">Ingestion performs input and output only. Risk scoring is deliberately excluded</w:t>
      </w:r>
      <w:r>
        <w:t xml:space="preserve"> </w:t>
      </w:r>
      <w:r>
        <w:t xml:space="preserve">from it so that a slow change to the scoring algorithm cannot stall data collection.</w:t>
      </w:r>
      <w:r>
        <w:t xml:space="preserve"> </w:t>
      </w:r>
      <w:r>
        <w:t xml:space="preserve">The scoring logic itself was ported from the Task 1 application server without</w:t>
      </w:r>
      <w:r>
        <w:t xml:space="preserve"> </w:t>
      </w:r>
      <w:r>
        <w:t xml:space="preserve">modification, which keeps the two implementations behaviourally identical. Because</w:t>
      </w:r>
      <w:r>
        <w:t xml:space="preserve"> </w:t>
      </w:r>
      <w:r>
        <w:t xml:space="preserve">SQS provides at-least-once delivery, dispatch is idempotent: a matching active</w:t>
      </w:r>
      <w:r>
        <w:t xml:space="preserve"> </w:t>
      </w:r>
      <w:r>
        <w:t xml:space="preserve">alert within a thirty-minute window is suppressed rather than duplicated.</w:t>
      </w:r>
    </w:p>
    <w:bookmarkEnd w:id="26"/>
    <w:bookmarkStart w:id="27" w:name="benefits-of-the-expansion"/>
    <w:p>
      <w:pPr>
        <w:pStyle w:val="Heading2"/>
      </w:pPr>
      <w:r>
        <w:t xml:space="preserve">Benefits of the Expansion</w:t>
      </w:r>
    </w:p>
    <w:p>
      <w:pPr>
        <w:pStyle w:val="FirstParagraph"/>
      </w:pPr>
      <w:r>
        <w:t xml:space="preserve">The expansion delivers four benefits that the monitoring evidence in the next</w:t>
      </w:r>
      <w:r>
        <w:t xml:space="preserve"> </w:t>
      </w:r>
      <w:r>
        <w:t xml:space="preserve">section quantifies. Independent scalability is the first, since each stage now</w:t>
      </w:r>
      <w:r>
        <w:t xml:space="preserve"> </w:t>
      </w:r>
      <w:r>
        <w:t xml:space="preserve">responds to its own signal: ingestion on schedule, scoring on queue depth, and</w:t>
      </w:r>
      <w:r>
        <w:t xml:space="preserve"> </w:t>
      </w:r>
      <w:r>
        <w:t xml:space="preserve">dispatch on triggered alert volume, rather than by adding whole application</w:t>
      </w:r>
      <w:r>
        <w:t xml:space="preserve"> </w:t>
      </w:r>
      <w:r>
        <w:t xml:space="preserve">instances. Second, the queue boundary confers deployment flexibility, because the</w:t>
      </w:r>
      <w:r>
        <w:t xml:space="preserve"> </w:t>
      </w:r>
      <w:r>
        <w:t xml:space="preserve">scoring function can be replaced while messages accumulate and drain without</w:t>
      </w:r>
      <w:r>
        <w:t xml:space="preserve"> </w:t>
      </w:r>
      <w:r>
        <w:t xml:space="preserve">request loss. Third, resilience improves through explicit dead-letter queues and</w:t>
      </w:r>
      <w:r>
        <w:t xml:space="preserve"> </w:t>
      </w:r>
      <w:r>
        <w:t xml:space="preserve">partial batch failure reporting, which together prevent one malformed message from</w:t>
      </w:r>
      <w:r>
        <w:t xml:space="preserve"> </w:t>
      </w:r>
      <w:r>
        <w:t xml:space="preserve">forcing redelivery of an entire batch. Fourth, cost efficiency improves because the</w:t>
      </w:r>
      <w:r>
        <w:t xml:space="preserve"> </w:t>
      </w:r>
      <w:r>
        <w:t xml:space="preserve">functions consume compute only while executing, consistent with the economic model</w:t>
      </w:r>
      <w:r>
        <w:t xml:space="preserve"> </w:t>
      </w:r>
      <w:r>
        <w:t xml:space="preserve">described by Adzic and Chatley (2017).</w:t>
      </w:r>
    </w:p>
    <w:p>
      <w:pPr>
        <w:pStyle w:val="BodyText"/>
      </w:pPr>
      <w:r>
        <w:t xml:space="preserve">A further benefit concerns data ownership. Keeping the functions outside the</w:t>
      </w:r>
      <w:r>
        <w:t xml:space="preserve"> </w:t>
      </w:r>
      <w:r>
        <w:t xml:space="preserve">virtual private cloud avoids the recurring cost of a network address translation</w:t>
      </w:r>
      <w:r>
        <w:t xml:space="preserve"> </w:t>
      </w:r>
      <w:r>
        <w:t xml:space="preserve">gateway and allows the database security group to remain closed, while the internal</w:t>
      </w:r>
      <w:r>
        <w:t xml:space="preserve"> </w:t>
      </w:r>
      <w:r>
        <w:t xml:space="preserve">interface avoids the dual-write consistency problem that Richardson (2018)</w:t>
      </w:r>
      <w:r>
        <w:t xml:space="preserve"> </w:t>
      </w:r>
      <w:r>
        <w:t xml:space="preserve">identified as a common decomposition failure.</w:t>
      </w:r>
    </w:p>
    <w:bookmarkEnd w:id="27"/>
    <w:bookmarkEnd w:id="28"/>
    <w:bookmarkStart w:id="114" w:name="system-implementation"/>
    <w:p>
      <w:pPr>
        <w:pStyle w:val="Heading1"/>
      </w:pPr>
      <w:r>
        <w:t xml:space="preserve">System Implementation</w:t>
      </w:r>
    </w:p>
    <w:p>
      <w:pPr>
        <w:pStyle w:val="FirstParagraph"/>
      </w:pPr>
      <w:r>
        <w:t xml:space="preserve">The Task 2 serverless layer was provisioned entirely through the AWS Command Line</w:t>
      </w:r>
      <w:r>
        <w:t xml:space="preserve"> </w:t>
      </w:r>
      <w:r>
        <w:t xml:space="preserve">Interface so that every step is reproducible and auditable rather than a sequence of</w:t>
      </w:r>
      <w:r>
        <w:t xml:space="preserve"> </w:t>
      </w:r>
      <w:r>
        <w:t xml:space="preserve">console gestures. Table 4 lists what was built. The Task 1 server tier, comprising</w:t>
      </w:r>
      <w:r>
        <w:t xml:space="preserve"> </w:t>
      </w:r>
      <w:r>
        <w:t xml:space="preserve">the virtual private cloud, the relational database, both Elastic Beanstalk</w:t>
      </w:r>
      <w:r>
        <w:t xml:space="preserve"> </w:t>
      </w:r>
      <w:r>
        <w:t xml:space="preserve">environments, and the content delivery distribution, was retained and enhanced</w:t>
      </w:r>
      <w:r>
        <w:t xml:space="preserve"> </w:t>
      </w:r>
      <w:r>
        <w:t xml:space="preserve">rather than replaced.</w:t>
      </w:r>
    </w:p>
    <w:p>
      <w:pPr>
        <w:pStyle w:val="FigNum"/>
      </w:pPr>
      <w:r>
        <w:t xml:space="preserve">Table 4</w:t>
      </w:r>
    </w:p>
    <w:p>
      <w:pPr>
        <w:pStyle w:val="FigTitle"/>
      </w:pPr>
      <w:r>
        <w:t xml:space="preserve">Resources Provisioned in the Task 2 Serverless Layer</w:t>
      </w:r>
    </w:p>
    <w:tbl>
      <w:tblPr>
        <w:tblStyle w:val="Table"/>
        <w:tblW w:w="9216" w:type="dxa"/>
        <w:jc w:val="start"/>
        <w:tbl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395"/>
        <w:gridCol w:w="3757"/>
        <w:gridCol w:w="4064"/>
      </w:tblGrid>
      <w:tr>
        <w:trPr>
          <w:tblHeader w:val="true"/>
        </w:trPr>
        <w:tc>
          <w:tcPr>
            <w:tcW w:w="1395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w="3757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Resource provisioned</w:t>
            </w:r>
          </w:p>
        </w:tc>
        <w:tc>
          <w:tcPr>
            <w:tcW w:w="4064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DynamoDB</w:t>
            </w:r>
          </w:p>
        </w:tc>
        <w:tc>
          <w:tcPr>
            <w:tcW w:w="37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fg-weather-snapshots</w:t>
            </w:r>
          </w:p>
        </w:tc>
        <w:tc>
          <w:tcPr>
            <w:tcW w:w="40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Append-only weather time series with 30-day expiry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SQS</w:t>
            </w:r>
          </w:p>
        </w:tc>
        <w:tc>
          <w:tcPr>
            <w:tcW w:w="37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Two work queues and two dead-letter queues</w:t>
            </w:r>
          </w:p>
        </w:tc>
        <w:tc>
          <w:tcPr>
            <w:tcW w:w="40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Decoupling and failure isolation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SNS</w:t>
            </w:r>
          </w:p>
        </w:tc>
        <w:tc>
          <w:tcPr>
            <w:tcW w:w="37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fg-flood-alerts and fg-ops-alarms</w:t>
            </w:r>
          </w:p>
        </w:tc>
        <w:tc>
          <w:tcPr>
            <w:tcW w:w="40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Public fan-out and operator alarms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IAM</w:t>
            </w:r>
          </w:p>
        </w:tc>
        <w:tc>
          <w:tcPr>
            <w:tcW w:w="37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Six execution roles and one scheduler role</w:t>
            </w:r>
          </w:p>
        </w:tc>
        <w:tc>
          <w:tcPr>
            <w:tcW w:w="40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One least-privilege role per function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Lambda</w:t>
            </w:r>
          </w:p>
        </w:tc>
        <w:tc>
          <w:tcPr>
            <w:tcW w:w="37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Six functions</w:t>
            </w:r>
          </w:p>
        </w:tc>
        <w:tc>
          <w:tcPr>
            <w:tcW w:w="40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The microservices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w="37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REST API fg-serverless-api, stage v1</w:t>
            </w:r>
          </w:p>
        </w:tc>
        <w:tc>
          <w:tcPr>
            <w:tcW w:w="40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Public entry to two functions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EventBridge</w:t>
            </w:r>
          </w:p>
        </w:tc>
        <w:tc>
          <w:tcPr>
            <w:tcW w:w="37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fg-weather-ingest-schedule</w:t>
            </w:r>
          </w:p>
        </w:tc>
        <w:tc>
          <w:tcPr>
            <w:tcW w:w="40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Ten-minute ingestion trigger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w="37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Object-created notification</w:t>
            </w:r>
          </w:p>
        </w:tc>
        <w:tc>
          <w:tcPr>
            <w:tcW w:w="40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Upload is itself the trigger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CloudFront</w:t>
            </w:r>
          </w:p>
        </w:tc>
        <w:tc>
          <w:tcPr>
            <w:tcW w:w="37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Path behaviour for /sl/*</w:t>
            </w:r>
          </w:p>
        </w:tc>
        <w:tc>
          <w:tcPr>
            <w:tcW w:w="40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Single front door across three origins</w:t>
            </w:r>
          </w:p>
        </w:tc>
      </w:tr>
      <w:tr>
        <w:tc>
          <w:tcPr>
            <w:tcW w:w="1395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CloudWatch</w:t>
            </w:r>
          </w:p>
        </w:tc>
        <w:tc>
          <w:tcPr>
            <w:tcW w:w="3757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21 alarms and a 14-widget dashboard</w:t>
            </w:r>
          </w:p>
        </w:tc>
        <w:tc>
          <w:tcPr>
            <w:tcW w:w="4064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Monitoring and response</w:t>
            </w:r>
          </w:p>
        </w:tc>
      </w:tr>
    </w:tbl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All commands were executed against a single account in the us-east-1 region and were verified end to end after execution. The account identifier is visible in the resource identifiers shown throughout the figures that follow.</w:t>
      </w:r>
    </w:p>
    <w:bookmarkStart w:id="44" w:name="data-layer"/>
    <w:p>
      <w:pPr>
        <w:pStyle w:val="Heading2"/>
      </w:pPr>
      <w:r>
        <w:t xml:space="preserve">Data Layer</w:t>
      </w:r>
    </w:p>
    <w:bookmarkStart w:id="32" w:name="dynamodb-weather-snapshot-table"/>
    <w:p>
      <w:pPr>
        <w:pStyle w:val="Heading3"/>
      </w:pPr>
      <w:r>
        <w:t xml:space="preserve">DynamoDB Weather Snapshot Table</w:t>
      </w:r>
    </w:p>
    <w:p>
      <w:pPr>
        <w:pStyle w:val="FirstParagraph"/>
      </w:pPr>
      <w:r>
        <w:t xml:space="preserve">The table is partitioned on region and sorted on timestamp, so the latest snapshots</w:t>
      </w:r>
      <w:r>
        <w:t xml:space="preserve"> </w:t>
      </w:r>
      <w:r>
        <w:t xml:space="preserve">for a region resolve in a single query. On-demand billing suits periodic rather than</w:t>
      </w:r>
      <w:r>
        <w:t xml:space="preserve"> </w:t>
      </w:r>
      <w:r>
        <w:t xml:space="preserve">sustained ingestion. A time-to-live attribute expires items after thirty days at no</w:t>
      </w:r>
      <w:r>
        <w:t xml:space="preserve"> </w:t>
      </w:r>
      <w:r>
        <w:t xml:space="preserve">write cost, which is what keeps the table within the free tier.</w:t>
      </w:r>
    </w:p>
    <w:p>
      <w:pPr>
        <w:pStyle w:val="FigNum"/>
      </w:pPr>
      <w:r>
        <w:t xml:space="preserve">Figure 2</w:t>
      </w:r>
    </w:p>
    <w:p>
      <w:pPr>
        <w:pStyle w:val="FigTitle"/>
      </w:pPr>
      <w:r>
        <w:t xml:space="preserve">Creation of the DynamoDB Table and Its Expiry Specification</w:t>
      </w:r>
    </w:p>
    <w:p>
      <w:pPr>
        <w:pStyle w:val="FigImage"/>
      </w:pPr>
      <w:r>
        <w:drawing>
          <wp:inline>
            <wp:extent cx="5852160" cy="377293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image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772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The status moves to ACTIVE with regionId as the partition key, ts as the sort key, and the time-to-live attribute enabled on expiresAt.</w:t>
      </w:r>
    </w:p>
    <w:bookmarkEnd w:id="32"/>
    <w:bookmarkStart w:id="36" w:name="sqs-work-queues-and-dead-letter-queues"/>
    <w:p>
      <w:pPr>
        <w:pStyle w:val="Heading3"/>
      </w:pPr>
      <w:r>
        <w:t xml:space="preserve">SQS Work Queues and Dead-Letter Queues</w:t>
      </w:r>
    </w:p>
    <w:p>
      <w:pPr>
        <w:pStyle w:val="FirstParagraph"/>
      </w:pPr>
      <w:r>
        <w:t xml:space="preserve">Four queues were created rather than two. A dead-letter queue is a separate queue</w:t>
      </w:r>
      <w:r>
        <w:t xml:space="preserve"> </w:t>
      </w:r>
      <w:r>
        <w:t xml:space="preserve">reached by a redrive policy, and that policy is the resilience mechanism (Amazon Web</w:t>
      </w:r>
      <w:r>
        <w:t xml:space="preserve"> </w:t>
      </w:r>
      <w:r>
        <w:t xml:space="preserve">Services, 2025a). Visibility timeout was set to six times the longest consumer</w:t>
      </w:r>
      <w:r>
        <w:t xml:space="preserve"> </w:t>
      </w:r>
      <w:r>
        <w:t xml:space="preserve">timeout so that SQS cannot redeliver a message still being processed, and a maximum</w:t>
      </w:r>
      <w:r>
        <w:t xml:space="preserve"> </w:t>
      </w:r>
      <w:r>
        <w:t xml:space="preserve">receive count of three routes a repeatedly failing message aside instead of looping</w:t>
      </w:r>
      <w:r>
        <w:t xml:space="preserve"> </w:t>
      </w:r>
      <w:r>
        <w:t xml:space="preserve">indefinitely.</w:t>
      </w:r>
    </w:p>
    <w:p>
      <w:pPr>
        <w:pStyle w:val="FigNum"/>
      </w:pPr>
      <w:r>
        <w:t xml:space="preserve">Figure 3</w:t>
      </w:r>
    </w:p>
    <w:p>
      <w:pPr>
        <w:pStyle w:val="FigTitle"/>
      </w:pPr>
      <w:r>
        <w:t xml:space="preserve">Queue Creation and the Redrive Policy Linking Each Work Queue to Its Dead-Letter Queue</w:t>
      </w:r>
    </w:p>
    <w:p>
      <w:pPr>
        <w:pStyle w:val="FigImage"/>
      </w:pPr>
      <w:r>
        <w:drawing>
          <wp:inline>
            <wp:extent cx="5806440" cy="3839437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s/image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839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sns-topics"/>
    <w:p>
      <w:pPr>
        <w:pStyle w:val="Heading3"/>
      </w:pPr>
      <w:r>
        <w:t xml:space="preserve">SNS Topics</w:t>
      </w:r>
    </w:p>
    <w:p>
      <w:pPr>
        <w:pStyle w:val="FirstParagraph"/>
      </w:pPr>
      <w:r>
        <w:t xml:space="preserve">Two topics were kept deliberately separate so that an operational alarm storm can</w:t>
      </w:r>
      <w:r>
        <w:t xml:space="preserve"> </w:t>
      </w:r>
      <w:r>
        <w:t xml:space="preserve">never reach residents, and a public flood alert is never mistaken for an</w:t>
      </w:r>
      <w:r>
        <w:t xml:space="preserve"> </w:t>
      </w:r>
      <w:r>
        <w:t xml:space="preserve">infrastructure notification.</w:t>
      </w:r>
    </w:p>
    <w:p>
      <w:pPr>
        <w:pStyle w:val="FigNum"/>
      </w:pPr>
      <w:r>
        <w:t xml:space="preserve">Figure 4</w:t>
      </w:r>
    </w:p>
    <w:p>
      <w:pPr>
        <w:pStyle w:val="FigTitle"/>
      </w:pPr>
      <w:r>
        <w:t xml:space="preserve">Creation of the Alert and Operations Topics and Confirmation of a Subscription</w:t>
      </w:r>
    </w:p>
    <w:p>
      <w:pPr>
        <w:pStyle w:val="FigImage"/>
      </w:pPr>
      <w:r>
        <w:drawing>
          <wp:inline>
            <wp:extent cx="5852160" cy="120156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s/image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201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Image"/>
      </w:pPr>
      <w:r>
        <w:drawing>
          <wp:inline>
            <wp:extent cx="5852160" cy="76885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/image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76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End w:id="44"/>
    <w:bookmarkStart w:id="56" w:name="identity-and-access-management"/>
    <w:p>
      <w:pPr>
        <w:pStyle w:val="Heading2"/>
      </w:pPr>
      <w:r>
        <w:t xml:space="preserve">Identity and Access Management</w:t>
      </w:r>
    </w:p>
    <w:bookmarkStart w:id="51" w:name="one-execution-role-per-function"/>
    <w:p>
      <w:pPr>
        <w:pStyle w:val="Heading3"/>
      </w:pPr>
      <w:r>
        <w:t xml:space="preserve">One Execution Role per Function</w:t>
      </w:r>
    </w:p>
    <w:p>
      <w:pPr>
        <w:pStyle w:val="FirstParagraph"/>
      </w:pPr>
      <w:r>
        <w:t xml:space="preserve">Six roles confine the blast radius of a fault in any one handler to that handler</w:t>
      </w:r>
      <w:r>
        <w:t xml:space="preserve"> </w:t>
      </w:r>
      <w:r>
        <w:t xml:space="preserve">alone. Each role trusts only the Lambda service and carries the basic execution and</w:t>
      </w:r>
      <w:r>
        <w:t xml:space="preserve"> </w:t>
      </w:r>
      <w:r>
        <w:t xml:space="preserve">X-Ray write policies in addition to its own inline policy.</w:t>
      </w:r>
    </w:p>
    <w:p>
      <w:pPr>
        <w:pStyle w:val="FigNum"/>
      </w:pPr>
      <w:r>
        <w:t xml:space="preserve">Figure 5</w:t>
      </w:r>
    </w:p>
    <w:p>
      <w:pPr>
        <w:pStyle w:val="FigTitle"/>
      </w:pPr>
      <w:r>
        <w:t xml:space="preserve">Creation of the Six Lambda Execution Roles and Attachment of Their Managed Policies</w:t>
      </w:r>
    </w:p>
    <w:p>
      <w:pPr>
        <w:pStyle w:val="FigImage"/>
      </w:pPr>
      <w:r>
        <w:drawing>
          <wp:inline>
            <wp:extent cx="5852160" cy="201405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ures/image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014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Image"/>
      </w:pPr>
      <w:r>
        <w:drawing>
          <wp:inline>
            <wp:extent cx="5852160" cy="137494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ures/image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374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least-privilege-policy-verification"/>
    <w:p>
      <w:pPr>
        <w:pStyle w:val="Heading3"/>
      </w:pPr>
      <w:r>
        <w:t xml:space="preserve">Least-Privilege Policy Verification</w:t>
      </w:r>
    </w:p>
    <w:p>
      <w:pPr>
        <w:pStyle w:val="FirstParagraph"/>
      </w:pPr>
      <w:r>
        <w:t xml:space="preserve">Each role receives an inline policy naming only the resources that its function</w:t>
      </w:r>
      <w:r>
        <w:t xml:space="preserve"> </w:t>
      </w:r>
      <w:r>
        <w:t xml:space="preserve">actually touches. Figure 6 verifies the narrowest of the six.</w:t>
      </w:r>
    </w:p>
    <w:p>
      <w:pPr>
        <w:pStyle w:val="FigNum"/>
      </w:pPr>
      <w:r>
        <w:t xml:space="preserve">Figure 6</w:t>
      </w:r>
    </w:p>
    <w:p>
      <w:pPr>
        <w:pStyle w:val="FigTitle"/>
      </w:pPr>
      <w:r>
        <w:t xml:space="preserve">Evidence of Privilege Separation on the Unauthenticated Intake Function</w:t>
      </w:r>
    </w:p>
    <w:p>
      <w:pPr>
        <w:pStyle w:val="FigImage"/>
      </w:pPr>
      <w:r>
        <w:drawing>
          <wp:inline>
            <wp:extent cx="5852160" cy="263795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ures/image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63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The action list for fg-report-intake-role contains secretsmanager:GetSecretValue and nothing further, which demonstrates that the only unauthenticated endpoint in the system holds no permission to publish to SNS.</w:t>
      </w:r>
    </w:p>
    <w:bookmarkEnd w:id="55"/>
    <w:bookmarkEnd w:id="56"/>
    <w:bookmarkStart w:id="69" w:name="compute-layer"/>
    <w:p>
      <w:pPr>
        <w:pStyle w:val="Heading2"/>
      </w:pPr>
      <w:r>
        <w:t xml:space="preserve">Compute Layer</w:t>
      </w:r>
    </w:p>
    <w:bookmarkStart w:id="60" w:name="deployment-packaging"/>
    <w:p>
      <w:pPr>
        <w:pStyle w:val="Heading3"/>
      </w:pPr>
      <w:r>
        <w:t xml:space="preserve">Deployment Packaging</w:t>
      </w:r>
    </w:p>
    <w:p>
      <w:pPr>
        <w:pStyle w:val="FirstParagraph"/>
      </w:pPr>
      <w:r>
        <w:t xml:space="preserve">The Node.js 22 runtime already ships the AWS SDK, so five of the six functions</w:t>
      </w:r>
      <w:r>
        <w:t xml:space="preserve"> </w:t>
      </w:r>
      <w:r>
        <w:t xml:space="preserve">package as a handler plus a shared helper of a few kilobytes. Only the presign</w:t>
      </w:r>
      <w:r>
        <w:t xml:space="preserve"> </w:t>
      </w:r>
      <w:r>
        <w:t xml:space="preserve">function declares external dependencies. Small packages mean short initialisation</w:t>
      </w:r>
      <w:r>
        <w:t xml:space="preserve"> </w:t>
      </w:r>
      <w:r>
        <w:t xml:space="preserve">times, which Figure 7 makes visible as a size difference of three orders of</w:t>
      </w:r>
      <w:r>
        <w:t xml:space="preserve"> </w:t>
      </w:r>
      <w:r>
        <w:t xml:space="preserve">magnitude.</w:t>
      </w:r>
    </w:p>
    <w:p>
      <w:pPr>
        <w:pStyle w:val="FigNum"/>
      </w:pPr>
      <w:r>
        <w:t xml:space="preserve">Figure 7</w:t>
      </w:r>
    </w:p>
    <w:p>
      <w:pPr>
        <w:pStyle w:val="FigTitle"/>
      </w:pPr>
      <w:r>
        <w:t xml:space="preserve">Deployment Archive Sizes Across the Six Functions</w:t>
      </w:r>
    </w:p>
    <w:p>
      <w:pPr>
        <w:pStyle w:val="FigImage"/>
      </w:pPr>
      <w:r>
        <w:drawing>
          <wp:inline>
            <wp:extent cx="5852160" cy="3069576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ures/image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069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function-creation"/>
    <w:p>
      <w:pPr>
        <w:pStyle w:val="Heading3"/>
      </w:pPr>
      <w:r>
        <w:t xml:space="preserve">Function Creation</w:t>
      </w:r>
    </w:p>
    <w:p>
      <w:pPr>
        <w:pStyle w:val="FirstParagraph"/>
      </w:pPr>
      <w:r>
        <w:t xml:space="preserve">Timeouts are set per workload. Ingestion makes ten sequential outbound calls and</w:t>
      </w:r>
      <w:r>
        <w:t xml:space="preserve"> </w:t>
      </w:r>
      <w:r>
        <w:t xml:space="preserve">receives 300 seconds, whereas a function fronted by an endpoint receives 30. Active</w:t>
      </w:r>
      <w:r>
        <w:t xml:space="preserve"> </w:t>
      </w:r>
      <w:r>
        <w:t xml:space="preserve">tracing is enabled on all six, which is what makes the service map in Figure 27</w:t>
      </w:r>
      <w:r>
        <w:t xml:space="preserve"> </w:t>
      </w:r>
      <w:r>
        <w:t xml:space="preserve">possible.</w:t>
      </w:r>
    </w:p>
    <w:p>
      <w:pPr>
        <w:pStyle w:val="FigNum"/>
      </w:pPr>
      <w:r>
        <w:t xml:space="preserve">Figure 8</w:t>
      </w:r>
    </w:p>
    <w:p>
      <w:pPr>
        <w:pStyle w:val="FigTitle"/>
      </w:pPr>
      <w:r>
        <w:t xml:space="preserve">Creation of the Six Lambda Microservices With Active Tracing Enabled</w:t>
      </w:r>
    </w:p>
    <w:p>
      <w:pPr>
        <w:pStyle w:val="FigImage"/>
      </w:pPr>
      <w:r>
        <w:drawing>
          <wp:inline>
            <wp:extent cx="3758184" cy="3841876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image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184" cy="3841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X8d2ce1209094cf240b39151a4ee375af5c5c275"/>
    <w:p>
      <w:pPr>
        <w:pStyle w:val="Heading3"/>
      </w:pPr>
      <w:r>
        <w:t xml:space="preserve">Event Source Mappings and Concurrency Allocation</w:t>
      </w:r>
    </w:p>
    <w:p>
      <w:pPr>
        <w:pStyle w:val="FirstParagraph"/>
      </w:pPr>
      <w:r>
        <w:t xml:space="preserve">This account permits ten concurrent Lambda executions rather than the default</w:t>
      </w:r>
      <w:r>
        <w:t xml:space="preserve"> </w:t>
      </w:r>
      <w:r>
        <w:t xml:space="preserve">thousand. An uncapped queue consumer scales until it owns all of them and starves</w:t>
      </w:r>
      <w:r>
        <w:t xml:space="preserve"> </w:t>
      </w:r>
      <w:r>
        <w:t xml:space="preserve">the public request path, which API Gateway surfaces to users as a server error.</w:t>
      </w:r>
      <w:r>
        <w:t xml:space="preserve"> </w:t>
      </w:r>
      <w:r>
        <w:t xml:space="preserve">Capping the consumers at three and two therefore reserves five executions for</w:t>
      </w:r>
      <w:r>
        <w:t xml:space="preserve"> </w:t>
      </w:r>
      <w:r>
        <w:t xml:space="preserve">synchronous traffic. Partial batch failure reporting prevents one poison message</w:t>
      </w:r>
      <w:r>
        <w:t xml:space="preserve"> </w:t>
      </w:r>
      <w:r>
        <w:t xml:space="preserve">from forcing redelivery of its healthy batch companions (Amazon Web Services, 2025f).</w:t>
      </w:r>
    </w:p>
    <w:p>
      <w:pPr>
        <w:pStyle w:val="FigNum"/>
      </w:pPr>
      <w:r>
        <w:t xml:space="preserve">Figure 9</w:t>
      </w:r>
    </w:p>
    <w:p>
      <w:pPr>
        <w:pStyle w:val="FigTitle"/>
      </w:pPr>
      <w:r>
        <w:t xml:space="preserve">Queue Consumers Created With Explicit Concurrency Ceilings</w:t>
      </w:r>
    </w:p>
    <w:p>
      <w:pPr>
        <w:pStyle w:val="FigImage"/>
      </w:pPr>
      <w:r>
        <w:drawing>
          <wp:inline>
            <wp:extent cx="5852160" cy="3443915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/image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443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End w:id="69"/>
    <w:bookmarkStart w:id="91" w:name="api-layer"/>
    <w:p>
      <w:pPr>
        <w:pStyle w:val="Heading2"/>
      </w:pPr>
      <w:r>
        <w:t xml:space="preserve">API Layer</w:t>
      </w:r>
    </w:p>
    <w:bookmarkStart w:id="73" w:name="rest-api-and-resource-tree"/>
    <w:p>
      <w:pPr>
        <w:pStyle w:val="Heading3"/>
      </w:pPr>
      <w:r>
        <w:t xml:space="preserve">REST API and Resource Tree</w:t>
      </w:r>
    </w:p>
    <w:p>
      <w:pPr>
        <w:pStyle w:val="FirstParagraph"/>
      </w:pPr>
      <w:r>
        <w:t xml:space="preserve">A REST API was selected over an HTTP API for one decisive reason: HTTP APIs do not</w:t>
      </w:r>
      <w:r>
        <w:t xml:space="preserve"> </w:t>
      </w:r>
      <w:r>
        <w:t xml:space="preserve">emit X-Ray trace segments, and tracing evidence is required (Amazon Web Services,</w:t>
      </w:r>
      <w:r>
        <w:t xml:space="preserve"> </w:t>
      </w:r>
      <w:r>
        <w:t xml:space="preserve">2025d). Resources are rooted at /sl so that the distribution can forward with an</w:t>
      </w:r>
      <w:r>
        <w:t xml:space="preserve"> </w:t>
      </w:r>
      <w:r>
        <w:t xml:space="preserve">origin path of /v1 and require no path rewriting.</w:t>
      </w:r>
    </w:p>
    <w:p>
      <w:pPr>
        <w:pStyle w:val="FigNum"/>
      </w:pPr>
      <w:r>
        <w:t xml:space="preserve">Figure 10</w:t>
      </w:r>
    </w:p>
    <w:p>
      <w:pPr>
        <w:pStyle w:val="FigTitle"/>
      </w:pPr>
      <w:r>
        <w:t xml:space="preserve">REST API Identifier and Deployed Resource Tree</w:t>
      </w:r>
    </w:p>
    <w:p>
      <w:pPr>
        <w:pStyle w:val="FigImage"/>
      </w:pPr>
      <w:r>
        <w:drawing>
          <wp:inline>
            <wp:extent cx="5852160" cy="2656655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figures/image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65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80" w:name="integrations-and-invoke-permissions"/>
    <w:p>
      <w:pPr>
        <w:pStyle w:val="Heading3"/>
      </w:pPr>
      <w:r>
        <w:t xml:space="preserve">Integrations and Invoke Permissions</w:t>
      </w:r>
    </w:p>
    <w:p>
      <w:pPr>
        <w:pStyle w:val="FirstParagraph"/>
      </w:pPr>
      <w:r>
        <w:t xml:space="preserve">Lambda proxy integration passes the raw request to the handler, so routing and</w:t>
      </w:r>
      <w:r>
        <w:t xml:space="preserve"> </w:t>
      </w:r>
      <w:r>
        <w:t xml:space="preserve">response shape live in code rather than in gateway mapping templates. The</w:t>
      </w:r>
      <w:r>
        <w:t xml:space="preserve"> </w:t>
      </w:r>
      <w:r>
        <w:t xml:space="preserve">resource-based invoke permission is scoped to this API and this method rather than</w:t>
      </w:r>
      <w:r>
        <w:t xml:space="preserve"> </w:t>
      </w:r>
      <w:r>
        <w:t xml:space="preserve">granted broadly.</w:t>
      </w:r>
    </w:p>
    <w:p>
      <w:pPr>
        <w:pStyle w:val="FigNum"/>
      </w:pPr>
      <w:r>
        <w:t xml:space="preserve">Figure 11</w:t>
      </w:r>
    </w:p>
    <w:p>
      <w:pPr>
        <w:pStyle w:val="FigTitle"/>
      </w:pPr>
      <w:r>
        <w:t xml:space="preserve">Lambda Proxy Integrations and the Resulting Console Resource Tree</w:t>
      </w:r>
    </w:p>
    <w:p>
      <w:pPr>
        <w:pStyle w:val="FigImage"/>
      </w:pPr>
      <w:r>
        <w:drawing>
          <wp:inline>
            <wp:extent cx="5852160" cy="2143922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figures/image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143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Image"/>
      </w:pPr>
      <w:r>
        <w:drawing>
          <wp:inline>
            <wp:extent cx="5852160" cy="1691036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figures/image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691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90" w:name="stage-deployment-and-tracing"/>
    <w:p>
      <w:pPr>
        <w:pStyle w:val="Heading3"/>
      </w:pPr>
      <w:r>
        <w:t xml:space="preserve">Stage Deployment and Tracing</w:t>
      </w:r>
    </w:p>
    <w:p>
      <w:pPr>
        <w:pStyle w:val="FigNum"/>
      </w:pPr>
      <w:r>
        <w:t xml:space="preserve">Figure 12</w:t>
      </w:r>
    </w:p>
    <w:p>
      <w:pPr>
        <w:pStyle w:val="FigTitle"/>
      </w:pPr>
      <w:r>
        <w:t xml:space="preserve">Stage Deployment With X-Ray Tracing Enabled and a Direct Endpoint Test</w:t>
      </w:r>
    </w:p>
    <w:p>
      <w:pPr>
        <w:pStyle w:val="FigImage"/>
      </w:pPr>
      <w:r>
        <w:drawing>
          <wp:inline>
            <wp:extent cx="5852160" cy="884474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figures/image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884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Image"/>
      </w:pPr>
      <w:r>
        <w:drawing>
          <wp:inline>
            <wp:extent cx="5852160" cy="1225018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figures/image1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225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Image"/>
      </w:pPr>
      <w:r>
        <w:drawing>
          <wp:inline>
            <wp:extent cx="5852160" cy="701714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figures/image18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701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The tracingEnabled setting shown in the second panel is the capability that HTTP APIs lack entirely, and it is the reason the protocol decision in Table 2 was reversed. The third panel is a direct call to the stage endpoint, bypassing the distribution, which isolates the gateway from the front door during testing.</w:t>
      </w:r>
    </w:p>
    <w:bookmarkEnd w:id="90"/>
    <w:bookmarkEnd w:id="91"/>
    <w:bookmarkStart w:id="103" w:name="event-sources"/>
    <w:p>
      <w:pPr>
        <w:pStyle w:val="Heading2"/>
      </w:pPr>
      <w:r>
        <w:t xml:space="preserve">Event Sources</w:t>
      </w:r>
    </w:p>
    <w:bookmarkStart w:id="98" w:name="eventbridge-schedule"/>
    <w:p>
      <w:pPr>
        <w:pStyle w:val="Heading3"/>
      </w:pPr>
      <w:r>
        <w:t xml:space="preserve">EventBridge Schedule</w:t>
      </w:r>
    </w:p>
    <w:p>
      <w:pPr>
        <w:pStyle w:val="FirstParagraph"/>
      </w:pPr>
      <w:r>
        <w:t xml:space="preserve">The schedule replaces the in-process task that ran on every instance. EventBridge</w:t>
      </w:r>
      <w:r>
        <w:t xml:space="preserve"> </w:t>
      </w:r>
      <w:r>
        <w:t xml:space="preserve">fires once regardless of fleet size. Because Identity and Access Management is</w:t>
      </w:r>
      <w:r>
        <w:t xml:space="preserve"> </w:t>
      </w:r>
      <w:r>
        <w:t xml:space="preserve">eventually consistent and the scheduler validates role assumption at creation time,</w:t>
      </w:r>
      <w:r>
        <w:t xml:space="preserve"> </w:t>
      </w:r>
      <w:r>
        <w:t xml:space="preserve">the call is issued inside a retry loop.</w:t>
      </w:r>
    </w:p>
    <w:p>
      <w:pPr>
        <w:pStyle w:val="FigNum"/>
      </w:pPr>
      <w:r>
        <w:t xml:space="preserve">Figure 13</w:t>
      </w:r>
    </w:p>
    <w:p>
      <w:pPr>
        <w:pStyle w:val="FigTitle"/>
      </w:pPr>
      <w:r>
        <w:t xml:space="preserve">Scheduler Role Creation and Verification of the Ten-Minute Trigger</w:t>
      </w:r>
    </w:p>
    <w:p>
      <w:pPr>
        <w:pStyle w:val="FigImage"/>
      </w:pPr>
      <w:r>
        <w:drawing>
          <wp:inline>
            <wp:extent cx="5852160" cy="2210089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igures/image1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21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Image"/>
      </w:pPr>
      <w:r>
        <w:drawing>
          <wp:inline>
            <wp:extent cx="5852160" cy="2432689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figures/image20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432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2" w:name="s3-object-created-notification"/>
    <w:p>
      <w:pPr>
        <w:pStyle w:val="Heading3"/>
      </w:pPr>
      <w:r>
        <w:t xml:space="preserve">S3 Object-Created Notification</w:t>
      </w:r>
    </w:p>
    <w:p>
      <w:pPr>
        <w:pStyle w:val="FirstParagraph"/>
      </w:pPr>
      <w:r>
        <w:t xml:space="preserve">The invoke permission must exist before the notification is attached, because</w:t>
      </w:r>
      <w:r>
        <w:t xml:space="preserve"> </w:t>
      </w:r>
      <w:r>
        <w:t xml:space="preserve">attaching it validates that the destination is invocable (Amazon Web Services,</w:t>
      </w:r>
      <w:r>
        <w:t xml:space="preserve"> </w:t>
      </w:r>
      <w:r>
        <w:t xml:space="preserve">2025b). Uploading a photograph is itself the trigger: nothing polls and nothing is</w:t>
      </w:r>
      <w:r>
        <w:t xml:space="preserve"> </w:t>
      </w:r>
      <w:r>
        <w:t xml:space="preserve">scheduled.</w:t>
      </w:r>
    </w:p>
    <w:p>
      <w:pPr>
        <w:pStyle w:val="FigNum"/>
      </w:pPr>
      <w:r>
        <w:t xml:space="preserve">Figure 14</w:t>
      </w:r>
    </w:p>
    <w:p>
      <w:pPr>
        <w:pStyle w:val="FigTitle"/>
      </w:pPr>
      <w:r>
        <w:t xml:space="preserve">Bucket Notification Wiring Uploads to the Image Verification Function</w:t>
      </w:r>
    </w:p>
    <w:p>
      <w:pPr>
        <w:pStyle w:val="FigImage"/>
      </w:pPr>
      <w:r>
        <w:drawing>
          <wp:inline>
            <wp:extent cx="5852160" cy="3162817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figures/image2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162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End w:id="103"/>
    <w:bookmarkStart w:id="108" w:name="front-door"/>
    <w:p>
      <w:pPr>
        <w:pStyle w:val="Heading2"/>
      </w:pPr>
      <w:r>
        <w:t xml:space="preserve">Front Door</w:t>
      </w:r>
    </w:p>
    <w:bookmarkStart w:id="107" w:name="cloudfront-serverless-behaviour"/>
    <w:p>
      <w:pPr>
        <w:pStyle w:val="Heading3"/>
      </w:pPr>
      <w:r>
        <w:t xml:space="preserve">CloudFront Serverless Behaviour</w:t>
      </w:r>
    </w:p>
    <w:p>
      <w:pPr>
        <w:pStyle w:val="FirstParagraph"/>
      </w:pPr>
      <w:r>
        <w:t xml:space="preserve">Adding the /sl/* behaviour completes a single hostname serving three origins, so</w:t>
      </w:r>
      <w:r>
        <w:t xml:space="preserve"> </w:t>
      </w:r>
      <w:r>
        <w:t xml:space="preserve">every browser request is same-origin and no cross-origin preflight occurs anywhere</w:t>
      </w:r>
      <w:r>
        <w:t xml:space="preserve"> </w:t>
      </w:r>
      <w:r>
        <w:t xml:space="preserve">in the system.</w:t>
      </w:r>
    </w:p>
    <w:p>
      <w:pPr>
        <w:pStyle w:val="FigNum"/>
      </w:pPr>
      <w:r>
        <w:t xml:space="preserve">Figure 15</w:t>
      </w:r>
    </w:p>
    <w:p>
      <w:pPr>
        <w:pStyle w:val="FigTitle"/>
      </w:pPr>
      <w:r>
        <w:t xml:space="preserve">Distribution Updated With the API Gateway Origin</w:t>
      </w:r>
    </w:p>
    <w:p>
      <w:pPr>
        <w:pStyle w:val="FigImage"/>
      </w:pPr>
      <w:r>
        <w:drawing>
          <wp:inline>
            <wp:extent cx="5852160" cy="3337805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figures/image22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33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End w:id="108"/>
    <w:bookmarkStart w:id="112" w:name="microservice-source-and-interaction"/>
    <w:p>
      <w:pPr>
        <w:pStyle w:val="Heading2"/>
      </w:pPr>
      <w:r>
        <w:t xml:space="preserve">Microservice Source and Interaction</w:t>
      </w:r>
    </w:p>
    <w:p>
      <w:pPr>
        <w:pStyle w:val="FirstParagraph"/>
      </w:pPr>
      <w:r>
        <w:t xml:space="preserve">The functions never share a database. The application server owns the relational</w:t>
      </w:r>
      <w:r>
        <w:t xml:space="preserve"> </w:t>
      </w:r>
      <w:r>
        <w:t xml:space="preserve">store, the serverless tier owns DynamoDB and S3, and the two communicate over queues</w:t>
      </w:r>
      <w:r>
        <w:t xml:space="preserve"> </w:t>
      </w:r>
      <w:r>
        <w:t xml:space="preserve">and an authenticated internal interface. Figure 16 shows the source layout: six</w:t>
      </w:r>
      <w:r>
        <w:t xml:space="preserve"> </w:t>
      </w:r>
      <w:r>
        <w:t xml:space="preserve">independent function directories plus one shared helper, each with its own entry</w:t>
      </w:r>
      <w:r>
        <w:t xml:space="preserve"> </w:t>
      </w:r>
      <w:r>
        <w:t xml:space="preserve">point, which is what makes them independently deployable. Ingestion fans work out by</w:t>
      </w:r>
      <w:r>
        <w:t xml:space="preserve"> </w:t>
      </w:r>
      <w:r>
        <w:t xml:space="preserve">sending one message per region in batches of ten, the batch API limit. The forecast</w:t>
      </w:r>
      <w:r>
        <w:t xml:space="preserve"> </w:t>
      </w:r>
      <w:r>
        <w:t xml:space="preserve">consumer collects failed message identifiers into a batch item failure array and</w:t>
      </w:r>
      <w:r>
        <w:t xml:space="preserve"> </w:t>
      </w:r>
      <w:r>
        <w:t xml:space="preserve">returns it, so only the failures are redelivered. Dispatch checks for a matching</w:t>
      </w:r>
      <w:r>
        <w:t xml:space="preserve"> </w:t>
      </w:r>
      <w:r>
        <w:t xml:space="preserve">active alert and returns early before publishing, which is what makes at-least-once</w:t>
      </w:r>
      <w:r>
        <w:t xml:space="preserve"> </w:t>
      </w:r>
      <w:r>
        <w:t xml:space="preserve">delivery safe. Image verification reads the file signature from the object bytes,</w:t>
      </w:r>
      <w:r>
        <w:t xml:space="preserve"> </w:t>
      </w:r>
      <w:r>
        <w:t xml:space="preserve">because a presigned URL pins a declared content type but S3 never checks that the</w:t>
      </w:r>
      <w:r>
        <w:t xml:space="preserve"> </w:t>
      </w:r>
      <w:r>
        <w:t xml:space="preserve">bytes agree with it.</w:t>
      </w:r>
    </w:p>
    <w:p>
      <w:pPr>
        <w:pStyle w:val="FigNum"/>
      </w:pPr>
      <w:r>
        <w:t xml:space="preserve">Figure 16</w:t>
      </w:r>
    </w:p>
    <w:p>
      <w:pPr>
        <w:pStyle w:val="FigTitle"/>
      </w:pPr>
      <w:r>
        <w:t xml:space="preserve">Source Layout of the Six Independently Deployable Microservices</w:t>
      </w:r>
    </w:p>
    <w:p>
      <w:pPr>
        <w:pStyle w:val="FigImage"/>
      </w:pPr>
      <w:r>
        <w:drawing>
          <wp:inline>
            <wp:extent cx="4389120" cy="122450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figures/image3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2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3" w:name="system-functionality-post-implementation"/>
    <w:p>
      <w:pPr>
        <w:pStyle w:val="Heading2"/>
      </w:pPr>
      <w:r>
        <w:t xml:space="preserve">System Functionality Post-Implementation</w:t>
      </w:r>
    </w:p>
    <w:p>
      <w:pPr>
        <w:pStyle w:val="FirstParagraph"/>
      </w:pPr>
      <w:r>
        <w:t xml:space="preserve">The interfaces below exercise the integrated system end to end, from an</w:t>
      </w:r>
      <w:r>
        <w:t xml:space="preserve"> </w:t>
      </w:r>
      <w:r>
        <w:t xml:space="preserve">unauthenticated visitor through to administrative review. Each was captured from the</w:t>
      </w:r>
      <w:r>
        <w:t xml:space="preserve"> </w:t>
      </w:r>
      <w:r>
        <w:t xml:space="preserve">live deployment reached through the single CloudFront hostname, which confirms that</w:t>
      </w:r>
      <w:r>
        <w:t xml:space="preserve"> </w:t>
      </w:r>
      <w:r>
        <w:t xml:space="preserve">the serverless tier and the retained server tier are reachable as one application.</w:t>
      </w:r>
    </w:p>
    <w:p>
      <w:pPr>
        <w:pStyle w:val="FigNum"/>
      </w:pPr>
      <w:r>
        <w:t xml:space="preserve">Figure 17</w:t>
      </w:r>
    </w:p>
    <w:p>
      <w:pPr>
        <w:pStyle w:val="FigTitle"/>
      </w:pPr>
      <w:r>
        <w:t xml:space="preserve">Public Landing Page Served Through the CloudFront Distribution</w:t>
      </w:r>
    </w:p>
    <w:p>
      <w:pPr>
        <w:pStyle w:val="FigInstr"/>
      </w:pPr>
      <w:r>
        <w:t xml:space="preserve">[PASTE SCREENSHOT: the public landing page at the distribution root, with the CloudFront hostname visible in the address bar.]</w:t>
      </w:r>
    </w:p>
    <w:p>
      <w:pPr>
        <w:pStyle w:val="FigNum"/>
      </w:pPr>
      <w:r>
        <w:t xml:space="preserve">Figure 18</w:t>
      </w:r>
    </w:p>
    <w:p>
      <w:pPr>
        <w:pStyle w:val="FigTitle"/>
      </w:pPr>
      <w:r>
        <w:t xml:space="preserve">Resident Dashboard Showing Regional Risk and Active Alerts</w:t>
      </w:r>
    </w:p>
    <w:p>
      <w:pPr>
        <w:pStyle w:val="FigInstr"/>
      </w:pPr>
      <w:r>
        <w:t xml:space="preserve">[PASTE SCREENSHOT: the authenticated resident dashboard, showing the risk level and at least one pipeline-generated alert.]</w:t>
      </w:r>
    </w:p>
    <w:p>
      <w:pPr>
        <w:pStyle w:val="FigNum"/>
      </w:pPr>
      <w:r>
        <w:t xml:space="preserve">Figure 19</w:t>
      </w:r>
    </w:p>
    <w:p>
      <w:pPr>
        <w:pStyle w:val="FigTitle"/>
      </w:pPr>
      <w:r>
        <w:t xml:space="preserve">Report Submission Showing the Direct Browser-to-S3 Upload Sequence</w:t>
      </w:r>
    </w:p>
    <w:p>
      <w:pPr>
        <w:pStyle w:val="FigInstr"/>
      </w:pPr>
      <w:r>
        <w:t xml:space="preserve">[PASTE SCREENSHOT: the report form with the browser network panel open, showing a request for a presigned URL followed by a separate upload addressed to the S3 hostname. Truncate the signed query string, which is a temporary credential.]</w:t>
      </w:r>
    </w:p>
    <w:p>
      <w:pPr>
        <w:pStyle w:val="FigNum"/>
      </w:pPr>
      <w:r>
        <w:t xml:space="preserve">Figure 20</w:t>
      </w:r>
    </w:p>
    <w:p>
      <w:pPr>
        <w:pStyle w:val="FigTitle"/>
      </w:pPr>
      <w:r>
        <w:t xml:space="preserve">Authority Review of a Submitted Report</w:t>
      </w:r>
    </w:p>
    <w:p>
      <w:pPr>
        <w:pStyle w:val="FigInstr"/>
      </w:pPr>
      <w:r>
        <w:t xml:space="preserve">[PASTE SCREENSHOT: a report moving to the verified state, with the attached photograph rendered.]</w:t>
      </w:r>
    </w:p>
    <w:p>
      <w:pPr>
        <w:pStyle w:val="FigNum"/>
      </w:pPr>
      <w:r>
        <w:t xml:space="preserve">Figure 21</w:t>
      </w:r>
    </w:p>
    <w:p>
      <w:pPr>
        <w:pStyle w:val="FigTitle"/>
      </w:pPr>
      <w:r>
        <w:t xml:space="preserve">Alert Issued by an Authority User</w:t>
      </w:r>
    </w:p>
    <w:p>
      <w:pPr>
        <w:pStyle w:val="FigInstr"/>
      </w:pPr>
      <w:r>
        <w:t xml:space="preserve">[PASTE SCREENSHOT: the alert creation interface immediately after issuing an alert, with the new alert visible in the active list.]</w:t>
      </w:r>
    </w:p>
    <w:p>
      <w:pPr>
        <w:pStyle w:val="FigNum"/>
      </w:pPr>
      <w:r>
        <w:t xml:space="preserve">Figure 22</w:t>
      </w:r>
    </w:p>
    <w:p>
      <w:pPr>
        <w:pStyle w:val="FigTitle"/>
      </w:pPr>
      <w:r>
        <w:t xml:space="preserve">User Administration and Role Assignment</w:t>
      </w:r>
    </w:p>
    <w:p>
      <w:pPr>
        <w:pStyle w:val="FigInstr"/>
      </w:pPr>
      <w:r>
        <w:t xml:space="preserve">[PASTE SCREENSHOT: the user management view with assigned roles. Obscure real electronic mail addresses.]</w:t>
      </w:r>
    </w:p>
    <w:bookmarkEnd w:id="113"/>
    <w:bookmarkEnd w:id="114"/>
    <w:bookmarkStart w:id="147" w:name="results-and-discussion"/>
    <w:p>
      <w:pPr>
        <w:pStyle w:val="Heading1"/>
      </w:pPr>
      <w:r>
        <w:t xml:space="preserve">Results and Discussion</w:t>
      </w:r>
    </w:p>
    <w:p>
      <w:pPr>
        <w:pStyle w:val="FirstParagraph"/>
      </w:pPr>
      <w:r>
        <w:t xml:space="preserve">All figures reported in this section were measured on the live deployment using an</w:t>
      </w:r>
      <w:r>
        <w:t xml:space="preserve"> </w:t>
      </w:r>
      <w:r>
        <w:t xml:space="preserve">automated verification and load-generation script. The script exercises every hop of</w:t>
      </w:r>
      <w:r>
        <w:t xml:space="preserve"> </w:t>
      </w:r>
      <w:r>
        <w:t xml:space="preserve">both pipelines and then issues 240 requests across the server and serverless paths in</w:t>
      </w:r>
      <w:r>
        <w:t xml:space="preserve"> </w:t>
      </w:r>
      <w:r>
        <w:t xml:space="preserve">thirty seconds, so that latency percentiles describe a system under load rather than</w:t>
      </w:r>
      <w:r>
        <w:t xml:space="preserve"> </w:t>
      </w:r>
      <w:r>
        <w:t xml:space="preserve">an idle one.</w:t>
      </w:r>
    </w:p>
    <w:bookmarkStart w:id="118" w:name="end-to-end-verification"/>
    <w:p>
      <w:pPr>
        <w:pStyle w:val="Heading2"/>
      </w:pPr>
      <w:r>
        <w:t xml:space="preserve">End-to-End Verification</w:t>
      </w:r>
    </w:p>
    <w:p>
      <w:pPr>
        <w:pStyle w:val="FirstParagraph"/>
      </w:pPr>
      <w:r>
        <w:t xml:space="preserve">The verification routine proves each hop rather than merely asserting that resources</w:t>
      </w:r>
      <w:r>
        <w:t xml:space="preserve"> </w:t>
      </w:r>
      <w:r>
        <w:t xml:space="preserve">exist, and it discriminates between correct acceptance and correct rejection. All 18</w:t>
      </w:r>
      <w:r>
        <w:t xml:space="preserve"> </w:t>
      </w:r>
      <w:r>
        <w:t xml:space="preserve">checks passed with no failures. Table 5 summarises the assertions and Figure 23</w:t>
      </w:r>
      <w:r>
        <w:t xml:space="preserve"> </w:t>
      </w:r>
      <w:r>
        <w:t xml:space="preserve">records the run.</w:t>
      </w:r>
    </w:p>
    <w:p>
      <w:pPr>
        <w:pStyle w:val="FigNum"/>
      </w:pPr>
      <w:r>
        <w:t xml:space="preserve">Table 5</w:t>
      </w:r>
    </w:p>
    <w:p>
      <w:pPr>
        <w:pStyle w:val="FigTitle"/>
      </w:pPr>
      <w:r>
        <w:t xml:space="preserve">End-to-End Verification Assertions and Observed Results</w:t>
      </w:r>
    </w:p>
    <w:tbl>
      <w:tblPr>
        <w:tblStyle w:val="Table"/>
        <w:tblW w:w="9216" w:type="dxa"/>
        <w:jc w:val="start"/>
        <w:tbl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5572"/>
        <w:gridCol w:w="1822"/>
        <w:gridCol w:w="1822"/>
      </w:tblGrid>
      <w:tr>
        <w:trPr>
          <w:tblHeader w:val="true"/>
        </w:trPr>
        <w:tc>
          <w:tcPr>
            <w:tcW w:w="5572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Assertion</w:t>
            </w:r>
          </w:p>
        </w:tc>
        <w:tc>
          <w:tcPr>
            <w:tcW w:w="1822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Expected</w:t>
            </w:r>
          </w:p>
        </w:tc>
        <w:tc>
          <w:tcPr>
            <w:tcW w:w="1822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Observed</w:t>
            </w:r>
          </w:p>
        </w:tc>
      </w:tr>
      <w:tr>
        <w:tc>
          <w:tcPr>
            <w:tcW w:w="55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Front door routes to web, application, and serverless origins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200, 200, 200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200, 200, 200</w:t>
            </w:r>
          </w:p>
        </w:tc>
      </w:tr>
      <w:tr>
        <w:tc>
          <w:tcPr>
            <w:tcW w:w="55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Internal interface reached without a credential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w="55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Presign endpoint with a valid request and with an executable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200, rejected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200, 415</w:t>
            </w:r>
          </w:p>
        </w:tc>
      </w:tr>
      <w:tr>
        <w:tc>
          <w:tcPr>
            <w:tcW w:w="55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Public report endpoint with a malformed body and a valid body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Rejected, created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400, 201</w:t>
            </w:r>
          </w:p>
        </w:tc>
      </w:tr>
      <w:tr>
        <w:tc>
          <w:tcPr>
            <w:tcW w:w="55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Genuine image uploaded, then a text file renamed as an image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verified, rejected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verified, rejected</w:t>
            </w:r>
          </w:p>
        </w:tc>
      </w:tr>
      <w:tr>
        <w:tc>
          <w:tcPr>
            <w:tcW w:w="55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Scheduled ingestion invoked, failed regions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200, none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200, 0</w:t>
            </w:r>
          </w:p>
        </w:tc>
      </w:tr>
      <w:tr>
        <w:tc>
          <w:tcPr>
            <w:tcW w:w="55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DynamoDB snapshots written during the run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Increase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20 to 30</w:t>
            </w:r>
          </w:p>
        </w:tc>
      </w:tr>
      <w:tr>
        <w:tc>
          <w:tcPr>
            <w:tcW w:w="55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Both dead-letter queues after the run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Empty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0 and 0</w:t>
            </w:r>
          </w:p>
        </w:tc>
      </w:tr>
      <w:tr>
        <w:tc>
          <w:tcPr>
            <w:tcW w:w="55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Duplicate alert message delivered twice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Suppressed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Suppressed</w:t>
            </w:r>
          </w:p>
        </w:tc>
      </w:tr>
      <w:tr>
        <w:tc>
          <w:tcPr>
            <w:tcW w:w="5572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X-Ray traces recorded in the preceding 15 minutes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Non-zero</w:t>
            </w:r>
          </w:p>
        </w:tc>
        <w:tc>
          <w:tcPr>
            <w:tcW w:w="1822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275</w:t>
            </w:r>
          </w:p>
        </w:tc>
      </w:tr>
    </w:tbl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The rejection assertions matter as much as the acceptance assertions. Validation that rejects everything would also pass a test that only checked for failure.</w:t>
      </w:r>
    </w:p>
    <w:p>
      <w:pPr>
        <w:pStyle w:val="FigNum"/>
      </w:pPr>
      <w:r>
        <w:t xml:space="preserve">Figure 23</w:t>
      </w:r>
    </w:p>
    <w:p>
      <w:pPr>
        <w:pStyle w:val="FigTitle"/>
      </w:pPr>
      <w:r>
        <w:t xml:space="preserve">Consolidated End-to-End Verification Result for the Serverless Layer</w:t>
      </w:r>
    </w:p>
    <w:p>
      <w:pPr>
        <w:pStyle w:val="FigImage"/>
      </w:pPr>
      <w:r>
        <w:drawing>
          <wp:inline>
            <wp:extent cx="3931919" cy="3836121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figures/image26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19" cy="3836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8" w:name="monitoring-coverage"/>
    <w:p>
      <w:pPr>
        <w:pStyle w:val="Heading2"/>
      </w:pPr>
      <w:r>
        <w:t xml:space="preserve">Monitoring Coverage</w:t>
      </w:r>
    </w:p>
    <w:p>
      <w:pPr>
        <w:pStyle w:val="FirstParagraph"/>
      </w:pPr>
      <w:r>
        <w:t xml:space="preserve">A 14-widget dashboard is laid out along the request path, from front door through</w:t>
      </w:r>
      <w:r>
        <w:t xml:space="preserve"> </w:t>
      </w:r>
      <w:r>
        <w:t xml:space="preserve">the serverless pipeline and queue health to the data tier and the retained server</w:t>
      </w:r>
      <w:r>
        <w:t xml:space="preserve"> </w:t>
      </w:r>
      <w:r>
        <w:t xml:space="preserve">tier, ending in a log query of recent errors across all six functions. All handlers</w:t>
      </w:r>
      <w:r>
        <w:t xml:space="preserve"> </w:t>
      </w:r>
      <w:r>
        <w:t xml:space="preserve">emit single-line structured output so that fields remain queryable.</w:t>
      </w:r>
    </w:p>
    <w:p>
      <w:pPr>
        <w:pStyle w:val="FigNum"/>
      </w:pPr>
      <w:r>
        <w:t xml:space="preserve">Figure 24</w:t>
      </w:r>
    </w:p>
    <w:p>
      <w:pPr>
        <w:pStyle w:val="FigTitle"/>
      </w:pPr>
      <w:r>
        <w:t xml:space="preserve">Monitoring Dashboard Populated Under Load</w:t>
      </w:r>
    </w:p>
    <w:p>
      <w:pPr>
        <w:pStyle w:val="FigImage"/>
      </w:pPr>
      <w:r>
        <w:drawing>
          <wp:inline>
            <wp:extent cx="5852160" cy="2578502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figures/image24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578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Image"/>
      </w:pPr>
      <w:r>
        <w:drawing>
          <wp:inline>
            <wp:extent cx="5852160" cy="1358425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figures/image2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35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Twenty-one alarms are configured, every one of them publishing to the operations</w:t>
      </w:r>
      <w:r>
        <w:t xml:space="preserve"> </w:t>
      </w:r>
      <w:r>
        <w:t xml:space="preserve">topic, because a metric without an alarm action is observation without response</w:t>
      </w:r>
      <w:r>
        <w:t xml:space="preserve"> </w:t>
      </w:r>
      <w:r>
        <w:t xml:space="preserve">(Amazon Web Services, 2025e). Three matter most. A non-empty dead-letter queue means</w:t>
      </w:r>
      <w:r>
        <w:t xml:space="preserve"> </w:t>
      </w:r>
      <w:r>
        <w:t xml:space="preserve">work was permanently dropped. An age of oldest message above five minutes is the</w:t>
      </w:r>
      <w:r>
        <w:t xml:space="preserve"> </w:t>
      </w:r>
      <w:r>
        <w:t xml:space="preserve">honest backlog signal, because queue depth can look healthy on a fast-moving queue</w:t>
      </w:r>
      <w:r>
        <w:t xml:space="preserve"> </w:t>
      </w:r>
      <w:r>
        <w:t xml:space="preserve">while consumers fall behind. A Lambda throttle count is a capacity signal rather than</w:t>
      </w:r>
      <w:r>
        <w:t xml:space="preserve"> </w:t>
      </w:r>
      <w:r>
        <w:t xml:space="preserve">a code defect, and the next subsection shows that alarm earning its place.</w:t>
      </w:r>
    </w:p>
    <w:p>
      <w:pPr>
        <w:pStyle w:val="FigNum"/>
      </w:pPr>
      <w:r>
        <w:t xml:space="preserve">Figure 25</w:t>
      </w:r>
    </w:p>
    <w:p>
      <w:pPr>
        <w:pStyle w:val="FigTitle"/>
      </w:pPr>
      <w:r>
        <w:t xml:space="preserve">Alarm Inventory in a Non-Alarming State</w:t>
      </w:r>
    </w:p>
    <w:p>
      <w:pPr>
        <w:pStyle w:val="FigImage"/>
      </w:pPr>
      <w:r>
        <w:drawing>
          <wp:inline>
            <wp:extent cx="5852160" cy="3515035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figures/image23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51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Alarms reported as INSUFFICIENT_DATA cover error and throttle conditions that had not occurred within the evaluation window, which is the expected state for a healthy system rather than a configuration fault.</w:t>
      </w:r>
    </w:p>
    <w:bookmarkEnd w:id="128"/>
    <w:bookmarkStart w:id="129" w:name="X3e56292a50cbd7c4851792f6f0853e2a74561de"/>
    <w:p>
      <w:pPr>
        <w:pStyle w:val="Heading2"/>
      </w:pPr>
      <w:r>
        <w:t xml:space="preserve">Measured Performance of the Serverless Tier</w:t>
      </w:r>
    </w:p>
    <w:p>
      <w:pPr>
        <w:pStyle w:val="FirstParagraph"/>
      </w:pPr>
      <w:r>
        <w:t xml:space="preserve">Table 6 reports Lambda metrics across the window covering the load run.</w:t>
      </w:r>
    </w:p>
    <w:p>
      <w:pPr>
        <w:pStyle w:val="FigNum"/>
      </w:pPr>
      <w:r>
        <w:t xml:space="preserve">Table 6</w:t>
      </w:r>
    </w:p>
    <w:p>
      <w:pPr>
        <w:pStyle w:val="FigTitle"/>
      </w:pPr>
      <w:r>
        <w:t xml:space="preserve">Lambda Invocation Counts, Error Counts, and Duration Percentiles Under Load</w:t>
      </w:r>
    </w:p>
    <w:tbl>
      <w:tblPr>
        <w:tblStyle w:val="Table"/>
        <w:tblW w:w="9216" w:type="dxa"/>
        <w:jc w:val="start"/>
        <w:tbl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800"/>
        <w:gridCol w:w="1810"/>
        <w:gridCol w:w="987"/>
        <w:gridCol w:w="987"/>
        <w:gridCol w:w="1316"/>
        <w:gridCol w:w="1316"/>
      </w:tblGrid>
      <w:tr>
        <w:trPr>
          <w:tblHeader w:val="true"/>
        </w:trPr>
        <w:tc>
          <w:tcPr>
            <w:tcW w:w="2800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Function</w:t>
            </w:r>
          </w:p>
        </w:tc>
        <w:tc>
          <w:tcPr>
            <w:tcW w:w="1810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Invocations</w:t>
            </w:r>
          </w:p>
        </w:tc>
        <w:tc>
          <w:tcPr>
            <w:tcW w:w="987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Errors</w:t>
            </w:r>
          </w:p>
        </w:tc>
        <w:tc>
          <w:tcPr>
            <w:tcW w:w="987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M (ms)</w:t>
            </w:r>
          </w:p>
        </w:tc>
        <w:tc>
          <w:tcPr>
            <w:tcW w:w="1316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p95 (ms)</w:t>
            </w:r>
          </w:p>
        </w:tc>
        <w:tc>
          <w:tcPr>
            <w:tcW w:w="1316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Max (ms)</w:t>
            </w:r>
          </w:p>
        </w:tc>
      </w:tr>
      <w:tr>
        <w:tc>
          <w:tcPr>
            <w:tcW w:w="2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fg-upload-presign</w:t>
            </w:r>
          </w:p>
        </w:tc>
        <w:tc>
          <w:tcPr>
            <w:tcW w:w="18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245</w:t>
            </w:r>
          </w:p>
        </w:tc>
        <w:tc>
          <w:tcPr>
            <w:tcW w:w="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13.1</w:t>
            </w:r>
          </w:p>
        </w:tc>
        <w:tc>
          <w:tcPr>
            <w:tcW w:w="13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96.2</w:t>
            </w:r>
          </w:p>
        </w:tc>
        <w:tc>
          <w:tcPr>
            <w:tcW w:w="13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117.9</w:t>
            </w:r>
          </w:p>
        </w:tc>
      </w:tr>
      <w:tr>
        <w:tc>
          <w:tcPr>
            <w:tcW w:w="2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fg-report-intake</w:t>
            </w:r>
          </w:p>
        </w:tc>
        <w:tc>
          <w:tcPr>
            <w:tcW w:w="18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277.7</w:t>
            </w:r>
          </w:p>
        </w:tc>
        <w:tc>
          <w:tcPr>
            <w:tcW w:w="13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551.0</w:t>
            </w:r>
          </w:p>
        </w:tc>
        <w:tc>
          <w:tcPr>
            <w:tcW w:w="13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552.3</w:t>
            </w:r>
          </w:p>
        </w:tc>
      </w:tr>
      <w:tr>
        <w:tc>
          <w:tcPr>
            <w:tcW w:w="2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fg-flood-forecast</w:t>
            </w:r>
          </w:p>
        </w:tc>
        <w:tc>
          <w:tcPr>
            <w:tcW w:w="18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466.9</w:t>
            </w:r>
          </w:p>
        </w:tc>
        <w:tc>
          <w:tcPr>
            <w:tcW w:w="13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968.6</w:t>
            </w:r>
          </w:p>
        </w:tc>
        <w:tc>
          <w:tcPr>
            <w:tcW w:w="13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988.5</w:t>
            </w:r>
          </w:p>
        </w:tc>
      </w:tr>
      <w:tr>
        <w:tc>
          <w:tcPr>
            <w:tcW w:w="2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fg-alert-dispatch</w:t>
            </w:r>
          </w:p>
        </w:tc>
        <w:tc>
          <w:tcPr>
            <w:tcW w:w="18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475.4</w:t>
            </w:r>
          </w:p>
        </w:tc>
        <w:tc>
          <w:tcPr>
            <w:tcW w:w="13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765.9</w:t>
            </w:r>
          </w:p>
        </w:tc>
        <w:tc>
          <w:tcPr>
            <w:tcW w:w="13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778.4</w:t>
            </w:r>
          </w:p>
        </w:tc>
      </w:tr>
      <w:tr>
        <w:tc>
          <w:tcPr>
            <w:tcW w:w="2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fg-image-process</w:t>
            </w:r>
          </w:p>
        </w:tc>
        <w:tc>
          <w:tcPr>
            <w:tcW w:w="18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557.5</w:t>
            </w:r>
          </w:p>
        </w:tc>
        <w:tc>
          <w:tcPr>
            <w:tcW w:w="13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772.2</w:t>
            </w:r>
          </w:p>
        </w:tc>
        <w:tc>
          <w:tcPr>
            <w:tcW w:w="13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778.5</w:t>
            </w:r>
          </w:p>
        </w:tc>
      </w:tr>
      <w:tr>
        <w:tc>
          <w:tcPr>
            <w:tcW w:w="2800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fg-weather-ingest</w:t>
            </w:r>
          </w:p>
        </w:tc>
        <w:tc>
          <w:tcPr>
            <w:tcW w:w="1810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987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987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1638.3</w:t>
            </w:r>
          </w:p>
        </w:tc>
        <w:tc>
          <w:tcPr>
            <w:tcW w:w="1316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2194.8</w:t>
            </w:r>
          </w:p>
        </w:tc>
        <w:tc>
          <w:tcPr>
            <w:tcW w:w="1316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2245.9</w:t>
            </w:r>
          </w:p>
        </w:tc>
      </w:tr>
    </w:tbl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M denotes the arithmetic mean duration. Invocation counts differ by function because each is driven by a different event source rather than by uniform traffic.</w:t>
      </w:r>
    </w:p>
    <w:p>
      <w:pPr>
        <w:pStyle w:val="BodyText"/>
      </w:pPr>
      <w:r>
        <w:t xml:space="preserve">Two observations follow. First, the gap between the mean of 13.1 ms and the 95th</w:t>
      </w:r>
      <w:r>
        <w:t xml:space="preserve"> </w:t>
      </w:r>
      <w:r>
        <w:t xml:space="preserve">percentile of 96.2 ms for the presign function is initialisation cost. The warm path</w:t>
      </w:r>
      <w:r>
        <w:t xml:space="preserve"> </w:t>
      </w:r>
      <w:r>
        <w:t xml:space="preserve">is a matter of single-digit milliseconds and the tail is the creation of new</w:t>
      </w:r>
      <w:r>
        <w:t xml:space="preserve"> </w:t>
      </w:r>
      <w:r>
        <w:t xml:space="preserve">execution environments during a burst (Amazon Web Services, 2025c). Provisioned</w:t>
      </w:r>
      <w:r>
        <w:t xml:space="preserve"> </w:t>
      </w:r>
      <w:r>
        <w:t xml:space="preserve">concurrency would remove that tail at a fixed hourly charge, which intermittent</w:t>
      </w:r>
      <w:r>
        <w:t xml:space="preserve"> </w:t>
      </w:r>
      <w:r>
        <w:t xml:space="preserve">academic traffic does not justify. Second, weather ingestion is the slowest function</w:t>
      </w:r>
      <w:r>
        <w:t xml:space="preserve"> </w:t>
      </w:r>
      <w:r>
        <w:t xml:space="preserve">at 1.6 s, but it is intended to be, because it makes ten outbound calls to an</w:t>
      </w:r>
      <w:r>
        <w:t xml:space="preserve"> </w:t>
      </w:r>
      <w:r>
        <w:t xml:space="preserve">external forecast service (Open-Meteo, 2025). That is precisely why scoring was moved behind a queue: a</w:t>
      </w:r>
      <w:r>
        <w:t xml:space="preserve"> </w:t>
      </w:r>
      <w:r>
        <w:t xml:space="preserve">synchronous design would have placed those 1.6 s on a user’s request path.</w:t>
      </w:r>
    </w:p>
    <w:bookmarkEnd w:id="129"/>
    <w:bookmarkStart w:id="130" w:name="Xdfc3d9bd9027418b01564c81d0342d8db9f0461"/>
    <w:p>
      <w:pPr>
        <w:pStyle w:val="Heading2"/>
      </w:pPr>
      <w:r>
        <w:t xml:space="preserve">Measured Performance of the Server Tier and Data Stores</w:t>
      </w:r>
    </w:p>
    <w:p>
      <w:pPr>
        <w:pStyle w:val="FigNum"/>
      </w:pPr>
      <w:r>
        <w:t xml:space="preserve">Table 7</w:t>
      </w:r>
    </w:p>
    <w:p>
      <w:pPr>
        <w:pStyle w:val="FigTitle"/>
      </w:pPr>
      <w:r>
        <w:t xml:space="preserve">Server Tier and Data Store Utilisation Across the Measurement Window</w:t>
      </w:r>
    </w:p>
    <w:tbl>
      <w:tblPr>
        <w:tblStyle w:val="Table"/>
        <w:tblW w:w="9216" w:type="dxa"/>
        <w:jc w:val="start"/>
        <w:tbl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767"/>
        <w:gridCol w:w="4420"/>
        <w:gridCol w:w="3029"/>
      </w:tblGrid>
      <w:tr>
        <w:trPr>
          <w:tblHeader w:val="true"/>
        </w:trPr>
        <w:tc>
          <w:tcPr>
            <w:tcW w:w="1767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Component</w:t>
            </w:r>
          </w:p>
        </w:tc>
        <w:tc>
          <w:tcPr>
            <w:tcW w:w="4420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Metric</w:t>
            </w:r>
          </w:p>
        </w:tc>
        <w:tc>
          <w:tcPr>
            <w:tcW w:w="3029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w="17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Load balancer</w:t>
            </w:r>
          </w:p>
        </w:tc>
        <w:tc>
          <w:tcPr>
            <w:tcW w:w="44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Requests, mean target response time</w:t>
            </w:r>
          </w:p>
        </w:tc>
        <w:tc>
          <w:tcPr>
            <w:tcW w:w="30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327, 23.6 ms</w:t>
            </w:r>
          </w:p>
        </w:tc>
      </w:tr>
      <w:tr>
        <w:tc>
          <w:tcPr>
            <w:tcW w:w="17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Load balancer</w:t>
            </w:r>
          </w:p>
        </w:tc>
        <w:tc>
          <w:tcPr>
            <w:tcW w:w="44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Successful responses, server errors</w:t>
            </w:r>
          </w:p>
        </w:tc>
        <w:tc>
          <w:tcPr>
            <w:tcW w:w="30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321, 0</w:t>
            </w:r>
          </w:p>
        </w:tc>
      </w:tr>
      <w:tr>
        <w:tc>
          <w:tcPr>
            <w:tcW w:w="17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RDS PostgreSQL</w:t>
            </w:r>
          </w:p>
        </w:tc>
        <w:tc>
          <w:tcPr>
            <w:tcW w:w="44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CPU, connections, free storage</w:t>
            </w:r>
          </w:p>
        </w:tc>
        <w:tc>
          <w:tcPr>
            <w:tcW w:w="30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4.3%, 0.4, 17.1 GB</w:t>
            </w:r>
          </w:p>
        </w:tc>
      </w:tr>
      <w:tr>
        <w:tc>
          <w:tcPr>
            <w:tcW w:w="17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DynamoDB</w:t>
            </w:r>
          </w:p>
        </w:tc>
        <w:tc>
          <w:tcPr>
            <w:tcW w:w="44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Items, size, billing mode</w:t>
            </w:r>
          </w:p>
        </w:tc>
        <w:tc>
          <w:tcPr>
            <w:tcW w:w="30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3,212, 782 KB, on demand</w:t>
            </w:r>
          </w:p>
        </w:tc>
      </w:tr>
      <w:tr>
        <w:tc>
          <w:tcPr>
            <w:tcW w:w="17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DynamoDB</w:t>
            </w:r>
          </w:p>
        </w:tc>
        <w:tc>
          <w:tcPr>
            <w:tcW w:w="44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Consumed write units, read units</w:t>
            </w:r>
          </w:p>
        </w:tc>
        <w:tc>
          <w:tcPr>
            <w:tcW w:w="30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60, 418.5</w:t>
            </w:r>
          </w:p>
        </w:tc>
      </w:tr>
      <w:tr>
        <w:tc>
          <w:tcPr>
            <w:tcW w:w="1767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SNS</w:t>
            </w:r>
          </w:p>
        </w:tc>
        <w:tc>
          <w:tcPr>
            <w:tcW w:w="4420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Messages published, failed</w:t>
            </w:r>
          </w:p>
        </w:tc>
        <w:tc>
          <w:tcPr>
            <w:tcW w:w="3029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1, 0</w:t>
            </w:r>
          </w:p>
        </w:tc>
      </w:tr>
    </w:tbl>
    <w:p>
      <w:pPr>
        <w:pStyle w:val="BodyText"/>
      </w:pPr>
      <w:r>
        <w:t xml:space="preserve">A mean target response time of 23.6 ms against 4.3% database processor utilisation</w:t>
      </w:r>
      <w:r>
        <w:t xml:space="preserve"> </w:t>
      </w:r>
      <w:r>
        <w:t xml:space="preserve">shows the server tier comfortably under-used. That is the expected outcome of moving</w:t>
      </w:r>
      <w:r>
        <w:t xml:space="preserve"> </w:t>
      </w:r>
      <w:r>
        <w:t xml:space="preserve">polling and scoring off it, because in Task 1 the same instances that served user</w:t>
      </w:r>
      <w:r>
        <w:t xml:space="preserve"> </w:t>
      </w:r>
      <w:r>
        <w:t xml:space="preserve">requests also ran that work in process.</w:t>
      </w:r>
    </w:p>
    <w:bookmarkEnd w:id="130"/>
    <w:bookmarkStart w:id="131" w:name="X0592860db9f88be50fcc8619845e748c5982ade"/>
    <w:p>
      <w:pPr>
        <w:pStyle w:val="Heading2"/>
      </w:pPr>
      <w:r>
        <w:t xml:space="preserve">A Concurrency Limit Discovered Through Monitoring</w:t>
      </w:r>
    </w:p>
    <w:p>
      <w:pPr>
        <w:pStyle w:val="FirstParagraph"/>
      </w:pPr>
      <w:r>
        <w:t xml:space="preserve">The most useful result of this task came from monitoring rather than from testing,</w:t>
      </w:r>
      <w:r>
        <w:t xml:space="preserve"> </w:t>
      </w:r>
      <w:r>
        <w:t xml:space="preserve">and it changed the deployed configuration.</w:t>
      </w:r>
    </w:p>
    <w:p>
      <w:pPr>
        <w:pStyle w:val="BodyText"/>
      </w:pPr>
      <w:r>
        <w:t xml:space="preserve">An early load run returned two server errors out of 253 gateway requests. X-Ray</w:t>
      </w:r>
      <w:r>
        <w:t xml:space="preserve"> </w:t>
      </w:r>
      <w:r>
        <w:t xml:space="preserve">attributed the faults to the gateway stage, and the traces showed a duration of 13 ms</w:t>
      </w:r>
      <w:r>
        <w:t xml:space="preserve"> </w:t>
      </w:r>
      <w:r>
        <w:t xml:space="preserve">with a Lambda segment containing no subsegments and no application error. A genuine</w:t>
      </w:r>
      <w:r>
        <w:t xml:space="preserve"> </w:t>
      </w:r>
      <w:r>
        <w:t xml:space="preserve">handler failure would have produced an error segment, so the request had never</w:t>
      </w:r>
      <w:r>
        <w:t xml:space="preserve"> </w:t>
      </w:r>
      <w:r>
        <w:t xml:space="preserve">reached application code. The throttle metric for the presign function confirmed two</w:t>
      </w:r>
      <w:r>
        <w:t xml:space="preserve"> </w:t>
      </w:r>
      <w:r>
        <w:t xml:space="preserve">throttles in the same minute, and the account quota supplied the cause: this account</w:t>
      </w:r>
      <w:r>
        <w:t xml:space="preserve"> </w:t>
      </w:r>
      <w:r>
        <w:t xml:space="preserve">permits ten concurrent executions, not the default thousand, and the load generator</w:t>
      </w:r>
      <w:r>
        <w:t xml:space="preserve"> </w:t>
      </w:r>
      <w:r>
        <w:t xml:space="preserve">was issuing bursts of twelve.</w:t>
      </w:r>
    </w:p>
    <w:p>
      <w:pPr>
        <w:pStyle w:val="BodyText"/>
      </w:pPr>
      <w:r>
        <w:t xml:space="preserve">The architectural risk this exposed matters more than the failed test. Both queue</w:t>
      </w:r>
      <w:r>
        <w:t xml:space="preserve"> </w:t>
      </w:r>
      <w:r>
        <w:t xml:space="preserve">event source mappings had no concurrency ceiling, so either consumer could occupy all</w:t>
      </w:r>
      <w:r>
        <w:t xml:space="preserve"> </w:t>
      </w:r>
      <w:r>
        <w:t xml:space="preserve">ten slots. A backlog on the forecast queue, which is background work, would therefore</w:t>
      </w:r>
      <w:r>
        <w:t xml:space="preserve"> </w:t>
      </w:r>
      <w:r>
        <w:t xml:space="preserve">starve the presign and intake functions on the public request path. A shared</w:t>
      </w:r>
      <w:r>
        <w:t xml:space="preserve"> </w:t>
      </w:r>
      <w:r>
        <w:t xml:space="preserve">concurrency pool with no allocation lets a background workload hold a user-facing</w:t>
      </w:r>
      <w:r>
        <w:t xml:space="preserve"> </w:t>
      </w:r>
      <w:r>
        <w:t xml:space="preserve">endpoint hostage.</w:t>
      </w:r>
    </w:p>
    <w:p>
      <w:pPr>
        <w:pStyle w:val="BodyText"/>
      </w:pPr>
      <w:r>
        <w:t xml:space="preserve">Two changes followed. The queue consumers were capped at three and two, reserving the</w:t>
      </w:r>
      <w:r>
        <w:t xml:space="preserve"> </w:t>
      </w:r>
      <w:r>
        <w:t xml:space="preserve">remaining five executions for synchronous traffic, and the queue absorbs any</w:t>
      </w:r>
      <w:r>
        <w:t xml:space="preserve"> </w:t>
      </w:r>
      <w:r>
        <w:t xml:space="preserve">resulting backlog, which is precisely its purpose. Scaling configuration was chosen</w:t>
      </w:r>
      <w:r>
        <w:t xml:space="preserve"> </w:t>
      </w:r>
      <w:r>
        <w:t xml:space="preserve">over reserved concurrency deliberately, because at an account limit of exactly ten</w:t>
      </w:r>
      <w:r>
        <w:t xml:space="preserve"> </w:t>
      </w:r>
      <w:r>
        <w:t xml:space="preserve">Lambda will not permit reserved concurrency to be allocated at all. The load</w:t>
      </w:r>
      <w:r>
        <w:t xml:space="preserve"> </w:t>
      </w:r>
      <w:r>
        <w:t xml:space="preserve">generator was then bounded below the quota so that the test measures the latency of</w:t>
      </w:r>
      <w:r>
        <w:t xml:space="preserve"> </w:t>
      </w:r>
      <w:r>
        <w:t xml:space="preserve">the system rather than the ceiling of the account. Table 8 records the outcome.</w:t>
      </w:r>
    </w:p>
    <w:p>
      <w:pPr>
        <w:pStyle w:val="FigNum"/>
      </w:pPr>
      <w:r>
        <w:t xml:space="preserve">Table 8</w:t>
      </w:r>
    </w:p>
    <w:p>
      <w:pPr>
        <w:pStyle w:val="FigTitle"/>
      </w:pPr>
      <w:r>
        <w:t xml:space="preserve">Throttling and Server Errors Before and After the Concurrency Allocation</w:t>
      </w:r>
    </w:p>
    <w:tbl>
      <w:tblPr>
        <w:tblStyle w:val="Table"/>
        <w:tblW w:w="9216" w:type="dxa"/>
        <w:jc w:val="start"/>
        <w:tbl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3366"/>
        <w:gridCol w:w="2216"/>
        <w:gridCol w:w="1185"/>
        <w:gridCol w:w="2449"/>
      </w:tblGrid>
      <w:tr>
        <w:trPr>
          <w:tblHeader w:val="true"/>
        </w:trPr>
        <w:tc>
          <w:tcPr>
            <w:tcW w:w="3366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Run</w:t>
            </w:r>
          </w:p>
        </w:tc>
        <w:tc>
          <w:tcPr>
            <w:tcW w:w="2216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Presign invocations</w:t>
            </w:r>
          </w:p>
        </w:tc>
        <w:tc>
          <w:tcPr>
            <w:tcW w:w="1185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Throttles</w:t>
            </w:r>
          </w:p>
        </w:tc>
        <w:tc>
          <w:tcPr>
            <w:tcW w:w="2449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Gateway server errors</w:t>
            </w:r>
          </w:p>
        </w:tc>
      </w:tr>
      <w:tr>
        <w:tc>
          <w:tcPr>
            <w:tcW w:w="336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Before allocation, burst of 12</w:t>
            </w:r>
          </w:p>
        </w:tc>
        <w:tc>
          <w:tcPr>
            <w:tcW w:w="22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118</w:t>
            </w:r>
          </w:p>
        </w:tc>
        <w:tc>
          <w:tcPr>
            <w:tcW w:w="11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4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3366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After allocation, burst of 8</w:t>
            </w:r>
          </w:p>
        </w:tc>
        <w:tc>
          <w:tcPr>
            <w:tcW w:w="2216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117</w:t>
            </w:r>
          </w:p>
        </w:tc>
        <w:tc>
          <w:tcPr>
            <w:tcW w:w="1185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2449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The functional assertions passed in both runs. Only the metrics distinguished a system that worked from a system that would continue to work while a queue was busy.</w:t>
      </w:r>
    </w:p>
    <w:bookmarkEnd w:id="131"/>
    <w:bookmarkStart w:id="138" w:name="distributed-tracing-with-aws-x-ray"/>
    <w:p>
      <w:pPr>
        <w:pStyle w:val="Heading2"/>
      </w:pPr>
      <w:r>
        <w:t xml:space="preserve">Distributed Tracing With AWS X-Ray</w:t>
      </w:r>
    </w:p>
    <w:p>
      <w:pPr>
        <w:pStyle w:val="FirstParagraph"/>
      </w:pPr>
      <w:r>
        <w:t xml:space="preserve">Active tracing is enabled on all six functions, on the gateway stage, and on the</w:t>
      </w:r>
      <w:r>
        <w:t xml:space="preserve"> </w:t>
      </w:r>
      <w:r>
        <w:t xml:space="preserve">application server. The server required explicit instrumentation, because the</w:t>
      </w:r>
      <w:r>
        <w:t xml:space="preserve"> </w:t>
      </w:r>
      <w:r>
        <w:t xml:space="preserve">platform option enables the trace daemon, which forwards segments but does not create</w:t>
      </w:r>
      <w:r>
        <w:t xml:space="preserve"> </w:t>
      </w:r>
      <w:r>
        <w:t xml:space="preserve">them, so that option alone yields an empty service map. Because both tiers report</w:t>
      </w:r>
      <w:r>
        <w:t xml:space="preserve"> </w:t>
      </w:r>
      <w:r>
        <w:t xml:space="preserve">into one account, a single map spans the monolith and the serverless tier, which is</w:t>
      </w:r>
      <w:r>
        <w:t xml:space="preserve"> </w:t>
      </w:r>
      <w:r>
        <w:t xml:space="preserve">why the throttling above was attributed to the gateway stage rather than to a handler</w:t>
      </w:r>
      <w:r>
        <w:t xml:space="preserve"> </w:t>
      </w:r>
      <w:r>
        <w:t xml:space="preserve">within minutes of it occurring.</w:t>
      </w:r>
    </w:p>
    <w:p>
      <w:pPr>
        <w:pStyle w:val="FigNum"/>
      </w:pPr>
      <w:r>
        <w:t xml:space="preserve">Figure 26</w:t>
      </w:r>
    </w:p>
    <w:p>
      <w:pPr>
        <w:pStyle w:val="FigTitle"/>
      </w:pPr>
      <w:r>
        <w:t xml:space="preserve">Trace Map Metrics for the Gateway Stage Under Load</w:t>
      </w:r>
    </w:p>
    <w:p>
      <w:pPr>
        <w:pStyle w:val="FigImage"/>
      </w:pPr>
      <w:r>
        <w:drawing>
          <wp:inline>
            <wp:extent cx="5852160" cy="280583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figures/image27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805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Mean latency of 56 ms and a fault rate of zero are recorded against the stage. The 2% client error rate is the deliberate rejection traffic issued by the verification routine, namely the unauthenticated internal call, the malformed report, and the rejected executable upload.</w:t>
      </w:r>
    </w:p>
    <w:p>
      <w:pPr>
        <w:pStyle w:val="FigNum"/>
      </w:pPr>
      <w:r>
        <w:t xml:space="preserve">Figure 27</w:t>
      </w:r>
    </w:p>
    <w:p>
      <w:pPr>
        <w:pStyle w:val="FigTitle"/>
      </w:pPr>
      <w:r>
        <w:t xml:space="preserve">Service Map Spanning the Serverless and Server Tiers</w:t>
      </w:r>
    </w:p>
    <w:p>
      <w:pPr>
        <w:pStyle w:val="FigImage"/>
      </w:pPr>
      <w:r>
        <w:drawing>
          <wp:inline>
            <wp:extent cx="5852160" cy="2358639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figures/image28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358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The gateway stage node, the six function nodes, and the application server node appear in one view. The presence of the gateway node is the return on selecting a REST API over an HTTP API, as recorded in Table 2.</w:t>
      </w:r>
    </w:p>
    <w:bookmarkEnd w:id="138"/>
    <w:bookmarkStart w:id="145" w:name="Xd962bcd3ea7f1185370d6a68280eb94c771eeb9"/>
    <w:p>
      <w:pPr>
        <w:pStyle w:val="Heading2"/>
      </w:pPr>
      <w:r>
        <w:t xml:space="preserve">Functional Evidence From the Event Pipelines</w:t>
      </w:r>
    </w:p>
    <w:p>
      <w:pPr>
        <w:pStyle w:val="FirstParagraph"/>
      </w:pPr>
      <w:r>
        <w:t xml:space="preserve">Two outcomes confirm that the event wiring fired rather than merely existing. The</w:t>
      </w:r>
      <w:r>
        <w:t xml:space="preserve"> </w:t>
      </w:r>
      <w:r>
        <w:t xml:space="preserve">object tags in Figure 28 were written by the verification function, so their presence</w:t>
      </w:r>
      <w:r>
        <w:t xml:space="preserve"> </w:t>
      </w:r>
      <w:r>
        <w:t xml:space="preserve">proves the object-created notification invoked it and that the file signature check</w:t>
      </w:r>
      <w:r>
        <w:t xml:space="preserve"> </w:t>
      </w:r>
      <w:r>
        <w:t xml:space="preserve">ran on the stored bytes. The message in Figure 29 confirms that fan-out reaches a</w:t>
      </w:r>
      <w:r>
        <w:t xml:space="preserve"> </w:t>
      </w:r>
      <w:r>
        <w:t xml:space="preserve">subscribed endpoint, which is the outcome that matters most in an early warning</w:t>
      </w:r>
      <w:r>
        <w:t xml:space="preserve"> </w:t>
      </w:r>
      <w:r>
        <w:t xml:space="preserve">system.</w:t>
      </w:r>
    </w:p>
    <w:p>
      <w:pPr>
        <w:pStyle w:val="FigNum"/>
      </w:pPr>
      <w:r>
        <w:t xml:space="preserve">Figure 28</w:t>
      </w:r>
    </w:p>
    <w:p>
      <w:pPr>
        <w:pStyle w:val="FigTitle"/>
      </w:pPr>
      <w:r>
        <w:t xml:space="preserve">Object Tags Written by the Image Verification Function</w:t>
      </w:r>
    </w:p>
    <w:p>
      <w:pPr>
        <w:pStyle w:val="FigImage"/>
      </w:pPr>
      <w:r>
        <w:drawing>
          <wp:inline>
            <wp:extent cx="5852160" cy="1932185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figures/image2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932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Num"/>
      </w:pPr>
      <w:r>
        <w:t xml:space="preserve">Figure 29</w:t>
      </w:r>
    </w:p>
    <w:p>
      <w:pPr>
        <w:pStyle w:val="FigTitle"/>
      </w:pPr>
      <w:r>
        <w:t xml:space="preserve">Notification Delivered to a Subscribed Endpoint by Amazon SNS</w:t>
      </w:r>
    </w:p>
    <w:p>
      <w:pPr>
        <w:pStyle w:val="FigImage"/>
      </w:pPr>
      <w:r>
        <w:drawing>
          <wp:inline>
            <wp:extent cx="5852160" cy="1495552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figures/image6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495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6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The monitoring evidence supports the four benefits claimed for the expansion.</w:t>
      </w:r>
      <w:r>
        <w:t xml:space="preserve"> </w:t>
      </w:r>
      <w:r>
        <w:t xml:space="preserve">Scalability is evidenced by the server tier utilisation figures in Table 7: each</w:t>
      </w:r>
      <w:r>
        <w:t xml:space="preserve"> </w:t>
      </w:r>
      <w:r>
        <w:t xml:space="preserve">stage now scales on its own signal, and the offloaded work no longer competes with</w:t>
      </w:r>
      <w:r>
        <w:t xml:space="preserve"> </w:t>
      </w:r>
      <w:r>
        <w:t xml:space="preserve">user requests. Flexibility follows from the queue boundary, which allows the scoring</w:t>
      </w:r>
      <w:r>
        <w:t xml:space="preserve"> </w:t>
      </w:r>
      <w:r>
        <w:t xml:space="preserve">function to be redeployed while messages accumulate and drain, so no request is lost</w:t>
      </w:r>
      <w:r>
        <w:t xml:space="preserve"> </w:t>
      </w:r>
      <w:r>
        <w:t xml:space="preserve">during a deployment. Reliability is evidenced directly, because sent, received, and</w:t>
      </w:r>
      <w:r>
        <w:t xml:space="preserve"> </w:t>
      </w:r>
      <w:r>
        <w:t xml:space="preserve">deleted counts agreed on both work queues with both dead-letter queues empty, so no</w:t>
      </w:r>
      <w:r>
        <w:t xml:space="preserve"> </w:t>
      </w:r>
      <w:r>
        <w:t xml:space="preserve">message was lost and none required redrive. Partial batch failure reporting, the</w:t>
      </w:r>
      <w:r>
        <w:t xml:space="preserve"> </w:t>
      </w:r>
      <w:r>
        <w:t xml:space="preserve">thirty-minute deduplication window, and content verification on upload were each</w:t>
      </w:r>
      <w:r>
        <w:t xml:space="preserve"> </w:t>
      </w:r>
      <w:r>
        <w:t xml:space="preserve">asserted explicitly rather than assumed.</w:t>
      </w:r>
    </w:p>
    <w:p>
      <w:pPr>
        <w:pStyle w:val="BodyText"/>
      </w:pPr>
      <w:r>
        <w:t xml:space="preserve">Three limitations deserve statement. The ten-execution quota is a hard ceiling on</w:t>
      </w:r>
      <w:r>
        <w:t xml:space="preserve"> </w:t>
      </w:r>
      <w:r>
        <w:t xml:space="preserve">this account; the allocation described above manages it but does not remove it, and a</w:t>
      </w:r>
      <w:r>
        <w:t xml:space="preserve"> </w:t>
      </w:r>
      <w:r>
        <w:t xml:space="preserve">production deployment would request an increase. The database remains in a single</w:t>
      </w:r>
      <w:r>
        <w:t xml:space="preserve"> </w:t>
      </w:r>
      <w:r>
        <w:t xml:space="preserve">availability zone and is publicly reachable so that migrations can be run from a</w:t>
      </w:r>
      <w:r>
        <w:t xml:space="preserve"> </w:t>
      </w:r>
      <w:r>
        <w:t xml:space="preserve">developer machine, which is acceptable for assessment but not for production, though</w:t>
      </w:r>
      <w:r>
        <w:t xml:space="preserve"> </w:t>
      </w:r>
      <w:r>
        <w:t xml:space="preserve">the two-zone subnet group makes promotion a single API call. Finally, initialisation</w:t>
      </w:r>
      <w:r>
        <w:t xml:space="preserve"> </w:t>
      </w:r>
      <w:r>
        <w:t xml:space="preserve">cost dominates the 99th percentile, which is an inherent trade-off of on-demand</w:t>
      </w:r>
      <w:r>
        <w:t xml:space="preserve"> </w:t>
      </w:r>
      <w:r>
        <w:t xml:space="preserve">serverless compute and one that Jonas et al. (2019) identified as a defining</w:t>
      </w:r>
      <w:r>
        <w:t xml:space="preserve"> </w:t>
      </w:r>
      <w:r>
        <w:t xml:space="preserve">characteristic of the model rather than a defect of this implementation.</w:t>
      </w:r>
    </w:p>
    <w:bookmarkEnd w:id="146"/>
    <w:bookmarkEnd w:id="147"/>
    <w:bookmarkStart w:id="148" w:name="reflection-from-each-member"/>
    <w:p>
      <w:pPr>
        <w:pStyle w:val="Heading1"/>
      </w:pPr>
      <w:r>
        <w:t xml:space="preserve">Reflection From Each Member</w:t>
      </w:r>
    </w:p>
    <w:p>
      <w:pPr>
        <w:pStyle w:val="FirstParagraph"/>
      </w:pPr>
      <w:r>
        <w:rPr>
          <w:b/>
          <w:bCs/>
        </w:rPr>
        <w:t xml:space="preserve">Ashok Bhattrai (M1), weather ingestion and forecasting, S3 and IAM.</w:t>
      </w:r>
      <w:r>
        <w:t xml:space="preserve"> </w:t>
      </w:r>
      <w:r>
        <w:t xml:space="preserve">In Task 1 I built the weather and forecast modules as services running inside the</w:t>
      </w:r>
      <w:r>
        <w:t xml:space="preserve"> </w:t>
      </w:r>
      <w:r>
        <w:t xml:space="preserve">application server, and the hardest part of Task 2 was accepting that a working</w:t>
      </w:r>
      <w:r>
        <w:t xml:space="preserve"> </w:t>
      </w:r>
      <w:r>
        <w:t xml:space="preserve">scheduled task was in fact a design fault. The in-process scheduler runs on every</w:t>
      </w:r>
      <w:r>
        <w:t xml:space="preserve"> </w:t>
      </w:r>
      <w:r>
        <w:t xml:space="preserve">instance, so the moment the environment scaled out, every flood alert would have been</w:t>
      </w:r>
      <w:r>
        <w:t xml:space="preserve"> </w:t>
      </w:r>
      <w:r>
        <w:t xml:space="preserve">delivered twice. That was invisible to us until we tried to move the trigger to</w:t>
      </w:r>
      <w:r>
        <w:t xml:space="preserve"> </w:t>
      </w:r>
      <w:r>
        <w:t xml:space="preserve">EventBridge. The lesson I took from it is that</w:t>
      </w:r>
      <w:r>
        <w:t xml:space="preserve"> </w:t>
      </w:r>
      <w:r>
        <w:t xml:space="preserve">“</w:t>
      </w:r>
      <w:r>
        <w:t xml:space="preserve">it works in production today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it is correct</w:t>
      </w:r>
      <w:r>
        <w:t xml:space="preserve">”</w:t>
      </w:r>
      <w:r>
        <w:t xml:space="preserve"> </w:t>
      </w:r>
      <w:r>
        <w:t xml:space="preserve">are different claims, and only the second survives a change in</w:t>
      </w:r>
      <w:r>
        <w:t xml:space="preserve"> </w:t>
      </w:r>
      <w:r>
        <w:t xml:space="preserve">capacity. Writing one role per function was more tedious than writing one shared</w:t>
      </w:r>
      <w:r>
        <w:t xml:space="preserve"> </w:t>
      </w:r>
      <w:r>
        <w:t xml:space="preserve">role, but seeing exactly why a shared role would let the unauthenticated report</w:t>
      </w:r>
      <w:r>
        <w:t xml:space="preserve"> </w:t>
      </w:r>
      <w:r>
        <w:t xml:space="preserve">endpoint publish alerts to every subscriber made least privilege concrete rather than</w:t>
      </w:r>
      <w:r>
        <w:t xml:space="preserve"> </w:t>
      </w:r>
      <w:r>
        <w:t xml:space="preserve">a phrase from a lecture. My contribution sat at the front of the pipeline, so</w:t>
      </w:r>
      <w:r>
        <w:t xml:space="preserve"> </w:t>
      </w:r>
      <w:r>
        <w:t xml:space="preserve">everything downstream depended on ingestion staying simple.</w:t>
      </w:r>
    </w:p>
    <w:p>
      <w:pPr>
        <w:pStyle w:val="BodyText"/>
      </w:pPr>
      <w:r>
        <w:rPr>
          <w:b/>
          <w:bCs/>
        </w:rPr>
        <w:t xml:space="preserve">Samir Pokhrel (M2), report and upload microservices, API Gateway, CloudFront.</w:t>
      </w:r>
      <w:r>
        <w:t xml:space="preserve"> </w:t>
      </w:r>
      <w:r>
        <w:t xml:space="preserve">Extracting the presigned upload logic out of the application server into its own</w:t>
      </w:r>
      <w:r>
        <w:t xml:space="preserve"> </w:t>
      </w:r>
      <w:r>
        <w:t xml:space="preserve">function was the point at which microservices stopped being an abstraction for me. My</w:t>
      </w:r>
      <w:r>
        <w:t xml:space="preserve"> </w:t>
      </w:r>
      <w:r>
        <w:t xml:space="preserve">largest realisation came from the front door. In Task 1 we ran three distributions on</w:t>
      </w:r>
      <w:r>
        <w:t xml:space="preserve"> </w:t>
      </w:r>
      <w:r>
        <w:t xml:space="preserve">separate hostnames, which forced cross-origin configuration and a frontend rebuild</w:t>
      </w:r>
      <w:r>
        <w:t xml:space="preserve"> </w:t>
      </w:r>
      <w:r>
        <w:t xml:space="preserve">whenever a domain changed. Collapsing them into one distribution with three</w:t>
      </w:r>
      <w:r>
        <w:t xml:space="preserve"> </w:t>
      </w:r>
      <w:r>
        <w:t xml:space="preserve">path-routed origins removed an entire category of defect rather than fixing</w:t>
      </w:r>
      <w:r>
        <w:t xml:space="preserve"> </w:t>
      </w:r>
      <w:r>
        <w:t xml:space="preserve">individual instances of it. I also learned that a presigned URL is not a security</w:t>
      </w:r>
      <w:r>
        <w:t xml:space="preserve"> </w:t>
      </w:r>
      <w:r>
        <w:t xml:space="preserve">control, because it pins a declared content type while S3 never inspects the bytes,</w:t>
      </w:r>
      <w:r>
        <w:t xml:space="preserve"> </w:t>
      </w:r>
      <w:r>
        <w:t xml:space="preserve">which is why the verification function reads the file signature itself. Testing that</w:t>
      </w:r>
      <w:r>
        <w:t xml:space="preserve"> </w:t>
      </w:r>
      <w:r>
        <w:t xml:space="preserve">by uploading a text file renamed as an image and watching it come back tagged as</w:t>
      </w:r>
      <w:r>
        <w:t xml:space="preserve"> </w:t>
      </w:r>
      <w:r>
        <w:t xml:space="preserve">rejected was the most instructive moment of the project.</w:t>
      </w:r>
    </w:p>
    <w:p>
      <w:pPr>
        <w:pStyle w:val="BodyText"/>
      </w:pPr>
      <w:r>
        <w:rPr>
          <w:b/>
          <w:bCs/>
        </w:rPr>
        <w:t xml:space="preserve">Anjali Misra (M3), alert fan-out, SNS, CloudWatch alarms and dashboard.</w:t>
      </w:r>
      <w:r>
        <w:t xml:space="preserve"> </w:t>
      </w:r>
      <w:r>
        <w:t xml:space="preserve">I owned the monitoring requirement and began by treating it as a reporting exercise:</w:t>
      </w:r>
      <w:r>
        <w:t xml:space="preserve"> </w:t>
      </w:r>
      <w:r>
        <w:t xml:space="preserve">build the dashboard, capture the screenshots, submit. What changed my mind was the</w:t>
      </w:r>
      <w:r>
        <w:t xml:space="preserve"> </w:t>
      </w:r>
      <w:r>
        <w:t xml:space="preserve">throttling incident. Every functional assertion passed and the system looked healthy;</w:t>
      </w:r>
      <w:r>
        <w:t xml:space="preserve"> </w:t>
      </w:r>
      <w:r>
        <w:t xml:space="preserve">only the throttle metric and a trace with an empty function segment revealed that a</w:t>
      </w:r>
      <w:r>
        <w:t xml:space="preserve"> </w:t>
      </w:r>
      <w:r>
        <w:t xml:space="preserve">background queue could starve our public interface. I had configured that alarm</w:t>
      </w:r>
      <w:r>
        <w:t xml:space="preserve"> </w:t>
      </w:r>
      <w:r>
        <w:t xml:space="preserve">without really believing it would ever fire. The second lesson was that a metric</w:t>
      </w:r>
      <w:r>
        <w:t xml:space="preserve"> </w:t>
      </w:r>
      <w:r>
        <w:t xml:space="preserve">without an alarm action is only a chart, which is why all 21 alarms publish to a</w:t>
      </w:r>
      <w:r>
        <w:t xml:space="preserve"> </w:t>
      </w:r>
      <w:r>
        <w:t xml:space="preserve">topic. Choosing age of oldest message over queue depth taught me the same thing in a</w:t>
      </w:r>
      <w:r>
        <w:t xml:space="preserve"> </w:t>
      </w:r>
      <w:r>
        <w:t xml:space="preserve">different form, because depth looks reassuring on a fast queue even while consumers</w:t>
      </w:r>
      <w:r>
        <w:t xml:space="preserve"> </w:t>
      </w:r>
      <w:r>
        <w:t xml:space="preserve">fall behind. Working on alert fan-out also made me careful about who receives what,</w:t>
      </w:r>
      <w:r>
        <w:t xml:space="preserve"> </w:t>
      </w:r>
      <w:r>
        <w:t xml:space="preserve">which is why operational alarms and public alerts use separate topics.</w:t>
      </w:r>
    </w:p>
    <w:p>
      <w:pPr>
        <w:pStyle w:val="BodyText"/>
      </w:pPr>
      <w:r>
        <w:rPr>
          <w:b/>
          <w:bCs/>
        </w:rPr>
        <w:t xml:space="preserve">Sangita Tamang (M4), internal service interface, RDS, SQS reliability, X-Ray.</w:t>
      </w:r>
      <w:r>
        <w:t xml:space="preserve"> </w:t>
      </w:r>
      <w:r>
        <w:t xml:space="preserve">My contribution was the boundary between the two tiers, that is the internal</w:t>
      </w:r>
      <w:r>
        <w:t xml:space="preserve"> </w:t>
      </w:r>
      <w:r>
        <w:t xml:space="preserve">interface the functions call instead of connecting to the database directly. Arguing</w:t>
      </w:r>
      <w:r>
        <w:t xml:space="preserve"> </w:t>
      </w:r>
      <w:r>
        <w:t xml:space="preserve">for that constraint was difficult, because a direct connection seemed simpler. What</w:t>
      </w:r>
      <w:r>
        <w:t xml:space="preserve"> </w:t>
      </w:r>
      <w:r>
        <w:t xml:space="preserve">settled it was cost and security together: a function attached to the virtual private</w:t>
      </w:r>
      <w:r>
        <w:t xml:space="preserve"> </w:t>
      </w:r>
      <w:r>
        <w:t xml:space="preserve">cloud needs an address translation gateway with a recurring monthly charge, and a</w:t>
      </w:r>
      <w:r>
        <w:t xml:space="preserve"> </w:t>
      </w:r>
      <w:r>
        <w:t xml:space="preserve">function outside it has no stable address, so the alternative was opening the database</w:t>
      </w:r>
      <w:r>
        <w:t xml:space="preserve"> </w:t>
      </w:r>
      <w:r>
        <w:t xml:space="preserve">port to the public internet. Implementing idempotency taught me the most. Because SQS</w:t>
      </w:r>
      <w:r>
        <w:t xml:space="preserve"> </w:t>
      </w:r>
      <w:r>
        <w:t xml:space="preserve">delivers at least once, I had assumed retries were harmless until I realised that a</w:t>
      </w:r>
      <w:r>
        <w:t xml:space="preserve"> </w:t>
      </w:r>
      <w:r>
        <w:t xml:space="preserve">redelivered message would notify every resident in a region a second time. The</w:t>
      </w:r>
      <w:r>
        <w:t xml:space="preserve"> </w:t>
      </w:r>
      <w:r>
        <w:t xml:space="preserve">deduplication window, and a test that sends the same message twice and asserts that</w:t>
      </w:r>
      <w:r>
        <w:t xml:space="preserve"> </w:t>
      </w:r>
      <w:r>
        <w:t xml:space="preserve">one alert results, is the part of this project I am most confident in.</w:t>
      </w:r>
    </w:p>
    <w:bookmarkEnd w:id="148"/>
    <w:bookmarkStart w:id="149" w:name="new-workload-table-matrix"/>
    <w:p>
      <w:pPr>
        <w:pStyle w:val="Heading1"/>
      </w:pPr>
      <w:r>
        <w:t xml:space="preserve">New Workload Table Matrix</w:t>
      </w:r>
    </w:p>
    <w:p>
      <w:pPr>
        <w:pStyle w:val="FirstParagraph"/>
      </w:pPr>
      <w:r>
        <w:t xml:space="preserve">Table 9 records each member’s responsibilities across both tasks. Distribution was</w:t>
      </w:r>
      <w:r>
        <w:t xml:space="preserve"> </w:t>
      </w:r>
      <w:r>
        <w:t xml:space="preserve">planned by feature rather than by layer, so that every member owned frontend,</w:t>
      </w:r>
      <w:r>
        <w:t xml:space="preserve"> </w:t>
      </w:r>
      <w:r>
        <w:t xml:space="preserve">backend, and cloud infrastructure work in both tasks rather than specialising into a</w:t>
      </w:r>
      <w:r>
        <w:t xml:space="preserve"> </w:t>
      </w:r>
      <w:r>
        <w:t xml:space="preserve">single tier.</w:t>
      </w:r>
    </w:p>
    <w:p>
      <w:pPr>
        <w:pStyle w:val="FigNum"/>
      </w:pPr>
      <w:r>
        <w:t xml:space="preserve">Table 9</w:t>
      </w:r>
    </w:p>
    <w:p>
      <w:pPr>
        <w:pStyle w:val="FigTitle"/>
      </w:pPr>
      <w:r>
        <w:t xml:space="preserve">Member Responsibilities and Contributions Across Task 1 and Task 2</w:t>
      </w:r>
    </w:p>
    <w:tbl>
      <w:tblPr>
        <w:tblStyle w:val="Table"/>
        <w:tblW w:w="9216" w:type="dxa"/>
        <w:jc w:val="start"/>
        <w:tbl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080"/>
        <w:gridCol w:w="2834"/>
        <w:gridCol w:w="2831"/>
        <w:gridCol w:w="2471"/>
      </w:tblGrid>
      <w:tr>
        <w:trPr>
          <w:tblHeader w:val="true"/>
        </w:trPr>
        <w:tc>
          <w:tcPr>
            <w:tcW w:w="1080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Member</w:t>
            </w:r>
          </w:p>
        </w:tc>
        <w:tc>
          <w:tcPr>
            <w:tcW w:w="2834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Task 1 contribution</w:t>
            </w:r>
          </w:p>
        </w:tc>
        <w:tc>
          <w:tcPr>
            <w:tcW w:w="2831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Task 2 contribution</w:t>
            </w:r>
          </w:p>
        </w:tc>
        <w:tc>
          <w:tcPr>
            <w:tcW w:w="2471" w:type="dxa"/>
            <w:tcBorders>
              <w:top w:val="single" w:sz="8" w:space="0" w:color="000000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center"/>
            </w:pPr>
            <w:r>
              <w:rPr>
                <w:sz w:val="20"/>
                <w:szCs w:val="20"/>
              </w:rPr>
              <w:t xml:space="preserve">AWS services owned</w:t>
            </w:r>
          </w:p>
        </w:tc>
      </w:tr>
      <w:tr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M1, Ashok Bhattrai</w:t>
            </w:r>
          </w:p>
        </w:tc>
        <w:tc>
          <w:tcPr>
            <w:tcW w:w="28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Weather dashboard and interactive risk map; flood forecast module; weather, regions, and forecast backend modules; resident awareness pages</w:t>
            </w:r>
          </w:p>
        </w:tc>
        <w:tc>
          <w:tcPr>
            <w:tcW w:w="28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fg-weather-ingest and fg-flood-forecast functions; external forecast integration; DynamoDB time-series schema with 30-day expiry; per-function execution roles; EventBridge schedule</w:t>
            </w:r>
          </w:p>
        </w:tc>
        <w:tc>
          <w:tcPr>
            <w:tcW w:w="24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S3, IAM, DynamoDB, EventBridge</w:t>
            </w:r>
          </w:p>
        </w:tc>
      </w:tr>
      <w:tr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M2, Samir Pokhrel</w:t>
            </w:r>
          </w:p>
        </w:tc>
        <w:tc>
          <w:tcPr>
            <w:tcW w:w="28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Flood report system and assistance requests; report, request, and upload modules; presigned upload flow; resident action pages</w:t>
            </w:r>
          </w:p>
        </w:tc>
        <w:tc>
          <w:tcPr>
            <w:tcW w:w="28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fg-report-intake, fg-upload-presign, and fg-image-process functions; REST API configuration; single-distribution path routing; file signature verification</w:t>
            </w:r>
          </w:p>
        </w:tc>
        <w:tc>
          <w:tcPr>
            <w:tcW w:w="24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API Gateway, CloudFront, VPC, S3 uploads</w:t>
            </w:r>
          </w:p>
        </w:tc>
      </w:tr>
      <w:tr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M3, Anjali Misra</w:t>
            </w:r>
          </w:p>
        </w:tc>
        <w:tc>
          <w:tcPr>
            <w:tcW w:w="28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Alert system and region management; authority dashboard; alert module and region administration; review pages</w:t>
            </w:r>
          </w:p>
        </w:tc>
        <w:tc>
          <w:tcPr>
            <w:tcW w:w="28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fg-alert-dispatch function; separation of public and operational topics; 21 CloudWatch alarms; 14-widget dashboard; log query views; throttling analysis</w:t>
            </w:r>
          </w:p>
        </w:tc>
        <w:tc>
          <w:tcPr>
            <w:tcW w:w="24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SNS, CloudWatch, Elastic Beanstalk, security groups</w:t>
            </w:r>
          </w:p>
        </w:tc>
      </w:tr>
      <w:tr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M4, Sangita Tamang</w:t>
            </w:r>
          </w:p>
        </w:tc>
        <w:tc>
          <w:tcPr>
            <w:tcW w:w="2834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Volunteer request response; user and authentication system; authentication, user, and evacuation modules; database schema and migrations</w:t>
            </w:r>
          </w:p>
        </w:tc>
        <w:tc>
          <w:tcPr>
            <w:tcW w:w="2831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Internal service interface and its guard; queue and dead-letter queue topology with redrive policies; partial batch failure handling; alert idempotency; tracing of the application server</w:t>
            </w:r>
          </w:p>
        </w:tc>
        <w:tc>
          <w:tcPr>
            <w:tcW w:w="2471" w:type="dxa"/>
            <w:tcBorders>
              <w:top w:val="none" w:sz="0" w:space="0" w:color="auto"/>
              <w:left w:val="none" w:sz="0" w:space="0" w:color="auto"/>
              <w:bottom w:val="single" w:sz="8" w:space="0" w:color="000000"/>
              <w:right w:val="none" w:sz="0" w:space="0" w:color="auto"/>
            </w:tcBorders>
          </w:tcPr>
          <w:p>
            <w:pPr>
              <w:pStyle w:val="Compact"/>
              <w:jc w:val="left"/>
            </w:pPr>
            <w:r>
              <w:rPr>
                <w:sz w:val="20"/>
                <w:szCs w:val="20"/>
              </w:rPr>
              <w:t xml:space="preserve">RDS, SQS, Secrets Manager, X-Ray</w:t>
            </w:r>
          </w:p>
        </w:tc>
      </w:tr>
    </w:tbl>
    <w:p>
      <w:pPr>
        <w:pStyle w:val="APANote"/>
      </w:pPr>
      <w:r>
        <w:rPr>
          <w:i/>
          <w:iCs/>
        </w:rPr>
        <w:t xml:space="preserve">Note.</w:t>
      </w:r>
      <w:r>
        <w:t xml:space="preserve"> </w:t>
      </w:r>
      <w:r>
        <w:t xml:space="preserve">Architecture review, the end-to-end verification routine, this report, and the demonstration were shared activities carried out jointly by all four members.</w:t>
      </w:r>
    </w:p>
    <w:p>
      <w:r>
        <w:br w:type="page"/>
      </w:r>
    </w:p>
    <w:bookmarkEnd w:id="149"/>
    <w:bookmarkStart w:id="150" w:name="references"/>
    <w:p>
      <w:pPr>
        <w:pStyle w:val="Heading1"/>
      </w:pPr>
      <w:r>
        <w:t xml:space="preserve">References</w:t>
      </w:r>
    </w:p>
    <w:p>
      <w:pPr>
        <w:pStyle w:val="Hanging"/>
      </w:pPr>
      <w:r>
        <w:t xml:space="preserve">Adzic, G., &amp; Chatley, R. (2017). Serverless computing: Economic and architectural impact. In</w:t>
      </w:r>
      <w:r>
        <w:t xml:space="preserve"> </w:t>
      </w:r>
      <w:r>
        <w:rPr>
          <w:i/>
          <w:iCs/>
        </w:rPr>
        <w:t xml:space="preserve">Proceedings of the 2017 11th Joint Meeting on Foundations of Software Engineering</w:t>
      </w:r>
      <w:r>
        <w:t xml:space="preserve"> </w:t>
      </w:r>
      <w:r>
        <w:t xml:space="preserve">(pp. 884–889). Association for Computing Machinery. https://doi.org/10.1145/3106237.3117767</w:t>
      </w:r>
    </w:p>
    <w:p>
      <w:pPr>
        <w:pStyle w:val="Hanging"/>
      </w:pPr>
      <w:r>
        <w:t xml:space="preserve">Amazon Web Services. (2025a).</w:t>
      </w:r>
      <w:r>
        <w:t xml:space="preserve"> </w:t>
      </w:r>
      <w:r>
        <w:rPr>
          <w:i/>
          <w:iCs/>
        </w:rPr>
        <w:t xml:space="preserve">Amazon SQS dead-letter queues</w:t>
      </w:r>
      <w:r>
        <w:t xml:space="preserve">. Amazon SQS Developer Guide. https://docs.aws.amazon.com/AWSSimpleQueueService/latest/SQSDeveloperGuide/sqs-dead-letter-queues.html</w:t>
      </w:r>
    </w:p>
    <w:p>
      <w:pPr>
        <w:pStyle w:val="Hanging"/>
      </w:pPr>
      <w:r>
        <w:t xml:space="preserve">Amazon Web Services. (2025b).</w:t>
      </w:r>
      <w:r>
        <w:t xml:space="preserve"> </w:t>
      </w:r>
      <w:r>
        <w:rPr>
          <w:i/>
          <w:iCs/>
        </w:rPr>
        <w:t xml:space="preserve">Configuring event notifications using Amazon S3 event notifications</w:t>
      </w:r>
      <w:r>
        <w:t xml:space="preserve">. Amazon S3 User Guide. https://docs.aws.amazon.com/AmazonS3/latest/userguide/NotificationHowTo.html</w:t>
      </w:r>
    </w:p>
    <w:p>
      <w:pPr>
        <w:pStyle w:val="Hanging"/>
      </w:pPr>
      <w:r>
        <w:t xml:space="preserve">Amazon Web Services. (2025c).</w:t>
      </w:r>
      <w:r>
        <w:t xml:space="preserve"> </w:t>
      </w:r>
      <w:r>
        <w:rPr>
          <w:i/>
          <w:iCs/>
        </w:rPr>
        <w:t xml:space="preserve">Lambda function scaling</w:t>
      </w:r>
      <w:r>
        <w:t xml:space="preserve">. AWS Lambda Developer Guide. https://docs.aws.amazon.com/lambda/latest/dg/lambda-concurrency.html</w:t>
      </w:r>
    </w:p>
    <w:p>
      <w:pPr>
        <w:pStyle w:val="Hanging"/>
      </w:pPr>
      <w:r>
        <w:t xml:space="preserve">Amazon Web Services. (2025d).</w:t>
      </w:r>
      <w:r>
        <w:t xml:space="preserve"> </w:t>
      </w:r>
      <w:r>
        <w:rPr>
          <w:i/>
          <w:iCs/>
        </w:rPr>
        <w:t xml:space="preserve">Tracing user requests to REST APIs using X-Ray</w:t>
      </w:r>
      <w:r>
        <w:t xml:space="preserve">. Amazon API Gateway Developer Guide. https://docs.aws.amazon.com/apigateway/latest/developerguide/apigateway-xray.html</w:t>
      </w:r>
    </w:p>
    <w:p>
      <w:pPr>
        <w:pStyle w:val="Hanging"/>
      </w:pPr>
      <w:r>
        <w:t xml:space="preserve">Amazon Web Services. (2025e).</w:t>
      </w:r>
      <w:r>
        <w:t xml:space="preserve"> </w:t>
      </w:r>
      <w:r>
        <w:rPr>
          <w:i/>
          <w:iCs/>
        </w:rPr>
        <w:t xml:space="preserve">Using Amazon CloudWatch alarms</w:t>
      </w:r>
      <w:r>
        <w:t xml:space="preserve">. Amazon CloudWatch User Guide. https://docs.aws.amazon.com/AmazonCloudWatch/latest/monitoring/AlarmThatSendsEmail.html</w:t>
      </w:r>
    </w:p>
    <w:p>
      <w:pPr>
        <w:pStyle w:val="Hanging"/>
      </w:pPr>
      <w:r>
        <w:t xml:space="preserve">Amazon Web Services. (2025f).</w:t>
      </w:r>
      <w:r>
        <w:t xml:space="preserve"> </w:t>
      </w:r>
      <w:r>
        <w:rPr>
          <w:i/>
          <w:iCs/>
        </w:rPr>
        <w:t xml:space="preserve">Using Lambda with Amazon SQS</w:t>
      </w:r>
      <w:r>
        <w:t xml:space="preserve">. AWS Lambda Developer Guide. https://docs.aws.amazon.com/lambda/latest/dg/with-sqs.html</w:t>
      </w:r>
    </w:p>
    <w:p>
      <w:pPr>
        <w:pStyle w:val="Hanging"/>
      </w:pPr>
      <w:r>
        <w:t xml:space="preserve">Jonas, E., Schleier-Smith, J., Sreekanti, V., Tsai, C.-C., Khandelwal, A., Pu, Q., Shankar, V., Carreira, J., Krauth, K., Yadwadkar, N., Gonzalez, J. E., Popa, R. A., Stoica, I., &amp; Patterson, D. A. (2019).</w:t>
      </w:r>
      <w:r>
        <w:t xml:space="preserve"> </w:t>
      </w:r>
      <w:r>
        <w:rPr>
          <w:i/>
          <w:iCs/>
        </w:rPr>
        <w:t xml:space="preserve">Cloud programming simplified: A Berkeley view on serverless computing</w:t>
      </w:r>
      <w:r>
        <w:t xml:space="preserve"> </w:t>
      </w:r>
      <w:r>
        <w:t xml:space="preserve">(Technical Report No. UCB/EECS-2019-3). University of California, Berkeley. https://doi.org/10.48550/arXiv.1902.03383</w:t>
      </w:r>
    </w:p>
    <w:p>
      <w:pPr>
        <w:pStyle w:val="Hanging"/>
      </w:pPr>
      <w:r>
        <w:t xml:space="preserve">Newman, S. (2021).</w:t>
      </w:r>
      <w:r>
        <w:t xml:space="preserve"> </w:t>
      </w:r>
      <w:r>
        <w:rPr>
          <w:i/>
          <w:iCs/>
        </w:rPr>
        <w:t xml:space="preserve">Building microservices: Designing fine-grained systems</w:t>
      </w:r>
      <w:r>
        <w:t xml:space="preserve"> </w:t>
      </w:r>
      <w:r>
        <w:t xml:space="preserve">(2nd ed.). O’Reilly Media.</w:t>
      </w:r>
    </w:p>
    <w:p>
      <w:pPr>
        <w:pStyle w:val="Hanging"/>
      </w:pPr>
      <w:r>
        <w:t xml:space="preserve">Open-Meteo. (2025).</w:t>
      </w:r>
      <w:r>
        <w:t xml:space="preserve"> </w:t>
      </w:r>
      <w:r>
        <w:rPr>
          <w:i/>
          <w:iCs/>
        </w:rPr>
        <w:t xml:space="preserve">Weather forecast API documentation</w:t>
      </w:r>
      <w:r>
        <w:t xml:space="preserve">. https://open-meteo.com/en/docs</w:t>
      </w:r>
    </w:p>
    <w:p>
      <w:pPr>
        <w:pStyle w:val="Hanging"/>
      </w:pPr>
      <w:r>
        <w:t xml:space="preserve">Richardson, C. (2018).</w:t>
      </w:r>
      <w:r>
        <w:t xml:space="preserve"> </w:t>
      </w:r>
      <w:r>
        <w:rPr>
          <w:i/>
          <w:iCs/>
        </w:rPr>
        <w:t xml:space="preserve">Microservices patterns: With examples in Java</w:t>
      </w:r>
      <w:r>
        <w:t xml:space="preserve">. Manning Publications.</w:t>
      </w:r>
    </w:p>
    <w:bookmarkEnd w:id="150"/>
    <w:sectPr>
      <w:head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jc w:val="right"/>
    </w:pPr>
    <w:r>
      <w:rPr>
        <w:rFonts w:ascii="Times New Roman" w:hAnsi="Times New Roman"/>
        <w:color w:val="000000"/>
        <w:sz w:val="24"/>
      </w:rPr>
    </w:r>
    <w:fldSimple w:instr=" PAGE ">
      <w:r>
        <w:rPr>
          <w:rFonts w:ascii="Times New Roman" w:hAnsi="Times New Roman"/>
          <w:color w:val="000000"/>
          <w:sz w:val="24"/>
        </w:rPr>
        <w:t>1</w:t>
      </w:r>
    </w:fldSimple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n-GB"/>
      </w:rPr>
    </w:rPrDefault>
    <w:pPrDefault>
      <w:pPr>
        <w:spacing w:after="0" w:before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480" w:lineRule="auto"/>
    </w:pPr>
    <w:rPr>
      <w:rFonts w:ascii="Times New Roman" w:hAnsi="Times New Roman"/>
      <w:color w:val="000000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0" w:before="0" w:line="480" w:lineRule="auto"/>
      <w:ind w:firstLine="720"/>
    </w:pPr>
    <w:rPr>
      <w:rFonts w:ascii="Times New Roman" w:hAnsi="Times New Roman"/>
      <w:color w:val="000000"/>
      <w:sz w:val="24"/>
      <w:szCs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480" w:lineRule="auto"/>
      <w:ind w:firstLine="720"/>
    </w:pPr>
    <w:rPr>
      <w:rFonts w:ascii="Times New Roman" w:hAnsi="Times New Roman"/>
      <w:color w:val="000000"/>
      <w:sz w:val="24"/>
      <w:szCs w:val="24"/>
    </w:rPr>
  </w:style>
  <w:style w:customStyle="1" w:styleId="Compact" w:type="paragraph">
    <w:name w:val="Compact"/>
    <w:basedOn w:val="Normal"/>
    <w:pPr>
      <w:spacing w:after="40" w:before="40" w:line="240" w:lineRule="auto"/>
      <w:ind w:firstLine="0" w:left="0"/>
    </w:pPr>
    <w:rPr>
      <w:rFonts w:ascii="Times New Roman" w:hAnsi="Times New Roman"/>
      <w:color w:val="000000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spacing w:after="0" w:before="100" w:line="480" w:lineRule="auto"/>
      <w:jc w:val="center"/>
    </w:pPr>
    <w:rPr>
      <w:rFonts w:ascii="Times New Roman" w:hAnsi="Times New Roman"/>
      <w:b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after="0" w:before="100" w:line="480" w:lineRule="auto"/>
    </w:pPr>
    <w:rPr>
      <w:rFonts w:ascii="Times New Roman" w:hAnsi="Times New Roman"/>
      <w:b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after="0" w:before="100" w:line="480" w:lineRule="auto"/>
    </w:pPr>
    <w:rPr>
      <w:rFonts w:ascii="Times New Roman" w:hAnsi="Times New Roman"/>
      <w:b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spacing w:after="0" w:before="100" w:line="480" w:lineRule="auto"/>
      <w:ind w:firstLine="720"/>
    </w:pPr>
    <w:rPr>
      <w:rFonts w:ascii="Times New Roman" w:hAnsi="Times New Roman"/>
      <w:b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spacing w:after="0" w:before="100" w:line="480" w:lineRule="auto"/>
      <w:ind w:firstLine="720"/>
    </w:pPr>
    <w:rPr>
      <w:rFonts w:ascii="Times New Roman" w:hAnsi="Times New Roman"/>
      <w:b/>
      <w:i/>
      <w:color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20" w:before="20" w:line="240" w:lineRule="auto"/>
    </w:pPr>
    <w:tblPr>
      <w:tblBorders>
        <w:top w:color="000000" w:sz="6" w:val="single"/>
        <w:left w:color="auto" w:sz="0" w:val="none"/>
        <w:bottom w:color="000000" w:sz="6" w:val="single"/>
        <w:right w:color="auto" w:sz="0" w:val="none"/>
        <w:insideH w:color="auto" w:sz="0" w:val="none"/>
        <w:insideV w:color="auto" w:sz="0" w:val="none"/>
      </w:tblBorders>
    </w:tblPr>
    <w:tblStylePr w:type="firstRow"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spacing w:after="0" w:before="0" w:line="480" w:lineRule="auto"/>
    </w:pPr>
    <w:rPr>
      <w:rFonts w:ascii="Times New Roman" w:hAnsi="Times New Roman"/>
      <w:i/>
      <w:color w:val="000000"/>
      <w:sz w:val="24"/>
      <w:szCs w:val="24"/>
    </w:rPr>
  </w:style>
  <w:style w:customStyle="1" w:styleId="ImageCaption" w:type="paragraph">
    <w:name w:val="Image Caption"/>
    <w:basedOn w:val="Caption"/>
    <w:pPr>
      <w:spacing w:after="0" w:before="0" w:line="480" w:lineRule="auto"/>
    </w:pPr>
    <w:rPr>
      <w:rFonts w:ascii="Times New Roman" w:hAnsi="Times New Roman"/>
      <w:i/>
      <w:color w:val="000000"/>
      <w:sz w:val="24"/>
      <w:szCs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anging" w:type="paragraph">
    <w:name w:val="Hanging"/>
    <w:basedOn w:val="Normal"/>
    <w:pPr>
      <w:spacing w:after="0" w:before="0" w:line="480" w:lineRule="auto"/>
      <w:ind w:hanging="720" w:left="720"/>
    </w:pPr>
  </w:style>
  <w:style w:customStyle="1" w:styleId="FigInstr" w:type="paragraph">
    <w:name w:val="FigInstr"/>
    <w:basedOn w:val="Normal"/>
    <w:pPr>
      <w:spacing w:after="0" w:before="0" w:line="240" w:lineRule="auto"/>
      <w:ind w:left="360"/>
    </w:pPr>
    <w:rPr>
      <w:rFonts w:ascii="Times New Roman" w:hAnsi="Times New Roman"/>
      <w:color w:val="000000"/>
      <w:sz w:val="24"/>
      <w:szCs w:val="24"/>
    </w:rPr>
  </w:style>
  <w:style w:customStyle="1" w:styleId="FigNum" w:type="paragraph">
    <w:name w:val="FigNum"/>
    <w:basedOn w:val="Normal"/>
    <w:pPr>
      <w:keepNext/>
      <w:spacing w:after="0" w:before="80" w:line="240" w:lineRule="auto"/>
    </w:pPr>
    <w:rPr>
      <w:rFonts w:ascii="Times New Roman" w:hAnsi="Times New Roman"/>
      <w:b/>
      <w:color w:val="000000"/>
      <w:sz w:val="24"/>
      <w:szCs w:val="24"/>
    </w:rPr>
  </w:style>
  <w:style w:customStyle="1" w:styleId="FigTitle" w:type="paragraph">
    <w:name w:val="FigTitle"/>
    <w:basedOn w:val="Normal"/>
    <w:pPr>
      <w:keepNext/>
      <w:spacing w:after="0" w:before="0" w:line="240" w:lineRule="auto"/>
    </w:pPr>
    <w:rPr>
      <w:rFonts w:ascii="Times New Roman" w:hAnsi="Times New Roman"/>
      <w:i/>
      <w:color w:val="000000"/>
      <w:sz w:val="24"/>
      <w:szCs w:val="24"/>
    </w:rPr>
  </w:style>
  <w:style w:customStyle="1" w:styleId="APANote" w:type="paragraph">
    <w:name w:val="APANote"/>
    <w:basedOn w:val="Normal"/>
    <w:pPr>
      <w:spacing w:after="120" w:before="0" w:line="240" w:lineRule="auto"/>
    </w:pPr>
    <w:rPr>
      <w:rFonts w:ascii="Times New Roman" w:hAnsi="Times New Roman"/>
      <w:color w:val="000000"/>
      <w:sz w:val="24"/>
      <w:szCs w:val="24"/>
    </w:rPr>
  </w:style>
  <w:style w:customStyle="1" w:styleId="APACenter" w:type="paragraph">
    <w:name w:val="APACenter"/>
    <w:basedOn w:val="Normal"/>
    <w:pPr>
      <w:spacing w:after="0" w:before="0" w:line="480" w:lineRule="auto"/>
      <w:jc w:val="center"/>
    </w:pPr>
    <w:rPr>
      <w:rFonts w:ascii="Times New Roman" w:hAnsi="Times New Roman"/>
      <w:color w:val="000000"/>
      <w:sz w:val="24"/>
      <w:szCs w:val="24"/>
    </w:rPr>
  </w:style>
  <w:style w:customStyle="1" w:styleId="APACenterBold" w:type="paragraph">
    <w:name w:val="APACenterBold"/>
    <w:basedOn w:val="Normal"/>
    <w:pPr>
      <w:spacing w:after="0" w:before="0" w:line="480" w:lineRule="auto"/>
      <w:jc w:val="center"/>
    </w:pPr>
    <w:rPr>
      <w:rFonts w:ascii="Times New Roman" w:hAnsi="Times New Roman"/>
      <w:b/>
      <w:color w:val="000000"/>
      <w:sz w:val="24"/>
      <w:szCs w:val="24"/>
    </w:rPr>
  </w:style>
  <w:style w:styleId="TOC1" w:type="paragraph">
    <w:name w:val="toc 1"/>
    <w:basedOn w:val="Normal"/>
    <w:pPr>
      <w:tabs>
        <w:tab w:leader="dot" w:pos="9360" w:val="right"/>
      </w:tabs>
      <w:spacing w:after="0" w:before="0" w:line="240" w:lineRule="auto"/>
      <w:ind w:left="0"/>
    </w:pPr>
    <w:rPr>
      <w:rFonts w:ascii="Times New Roman" w:hAnsi="Times New Roman"/>
      <w:color w:val="000000"/>
      <w:sz w:val="24"/>
      <w:szCs w:val="24"/>
    </w:rPr>
  </w:style>
  <w:style w:styleId="TOC2" w:type="paragraph">
    <w:name w:val="toc 2"/>
    <w:basedOn w:val="Normal"/>
    <w:pPr>
      <w:tabs>
        <w:tab w:leader="dot" w:pos="9360" w:val="right"/>
      </w:tabs>
      <w:spacing w:after="0" w:before="0" w:line="240" w:lineRule="auto"/>
      <w:ind w:left="280"/>
    </w:pPr>
    <w:rPr>
      <w:rFonts w:ascii="Times New Roman" w:hAnsi="Times New Roman"/>
      <w:color w:val="000000"/>
      <w:sz w:val="24"/>
      <w:szCs w:val="24"/>
    </w:rPr>
  </w:style>
  <w:style w:styleId="TOC3" w:type="paragraph">
    <w:name w:val="toc 3"/>
    <w:basedOn w:val="Normal"/>
    <w:pPr>
      <w:tabs>
        <w:tab w:leader="dot" w:pos="9360" w:val="right"/>
      </w:tabs>
      <w:spacing w:after="0" w:before="0" w:line="240" w:lineRule="auto"/>
      <w:ind w:left="560"/>
    </w:pPr>
    <w:rPr>
      <w:rFonts w:ascii="Times New Roman" w:hAnsi="Times New Roman"/>
      <w:color w:val="000000"/>
      <w:sz w:val="24"/>
      <w:szCs w:val="24"/>
    </w:rPr>
  </w:style>
  <w:style w:styleId="TOC4" w:type="paragraph">
    <w:name w:val="toc 4"/>
    <w:basedOn w:val="Normal"/>
    <w:pPr>
      <w:tabs>
        <w:tab w:leader="dot" w:pos="9360" w:val="right"/>
      </w:tabs>
      <w:spacing w:after="0" w:before="0" w:line="240" w:lineRule="auto"/>
      <w:ind w:left="840"/>
    </w:pPr>
    <w:rPr>
      <w:rFonts w:ascii="Times New Roman" w:hAnsi="Times New Roman"/>
      <w:color w:val="000000"/>
      <w:sz w:val="24"/>
      <w:szCs w:val="24"/>
    </w:rPr>
  </w:style>
  <w:style w:customStyle="1" w:styleId="TOCLine1" w:type="paragraph">
    <w:name w:val="TOCLine1"/>
    <w:basedOn w:val="Normal"/>
    <w:pPr>
      <w:tabs>
        <w:tab w:leader="dot" w:pos="9360" w:val="right"/>
      </w:tabs>
      <w:spacing w:after="0" w:before="0" w:line="240" w:lineRule="auto"/>
      <w:ind w:left="0" w:right="0"/>
    </w:pPr>
    <w:rPr>
      <w:rFonts w:ascii="Times New Roman" w:hAnsi="Times New Roman"/>
      <w:color w:val="000000"/>
      <w:sz w:val="24"/>
      <w:szCs w:val="24"/>
    </w:rPr>
  </w:style>
  <w:style w:customStyle="1" w:styleId="TOCLine2" w:type="paragraph">
    <w:name w:val="TOCLine2"/>
    <w:basedOn w:val="Normal"/>
    <w:pPr>
      <w:tabs>
        <w:tab w:leader="dot" w:pos="9360" w:val="right"/>
      </w:tabs>
      <w:spacing w:after="0" w:before="0" w:line="240" w:lineRule="auto"/>
      <w:ind w:left="300" w:right="0"/>
    </w:pPr>
    <w:rPr>
      <w:rFonts w:ascii="Times New Roman" w:hAnsi="Times New Roman"/>
      <w:color w:val="000000"/>
      <w:sz w:val="24"/>
      <w:szCs w:val="24"/>
    </w:rPr>
  </w:style>
  <w:style w:customStyle="1" w:styleId="TOCLine3" w:type="paragraph">
    <w:name w:val="TOCLine3"/>
    <w:basedOn w:val="Normal"/>
    <w:pPr>
      <w:tabs>
        <w:tab w:leader="dot" w:pos="9360" w:val="right"/>
      </w:tabs>
      <w:spacing w:after="0" w:before="0" w:line="240" w:lineRule="auto"/>
      <w:ind w:left="600" w:right="0"/>
    </w:pPr>
    <w:rPr>
      <w:rFonts w:ascii="Times New Roman" w:hAnsi="Times New Roman"/>
      <w:color w:val="000000"/>
      <w:sz w:val="24"/>
      <w:szCs w:val="24"/>
    </w:rPr>
  </w:style>
  <w:style w:customStyle="1" w:styleId="APAL4" w:type="paragraph">
    <w:name w:val="APAL4"/>
    <w:basedOn w:val="Normal"/>
    <w:next w:val="BodyText"/>
    <w:pPr>
      <w:keepNext/>
      <w:spacing w:after="0" w:before="80" w:line="480" w:lineRule="auto"/>
      <w:ind w:firstLine="720"/>
    </w:pPr>
    <w:rPr>
      <w:rFonts w:ascii="Times New Roman" w:hAnsi="Times New Roman"/>
      <w:b/>
      <w:color w:val="000000"/>
      <w:sz w:val="24"/>
      <w:szCs w:val="24"/>
    </w:rPr>
  </w:style>
  <w:style w:customStyle="1" w:styleId="FigImage" w:type="paragraph">
    <w:name w:val="FigImage"/>
    <w:basedOn w:val="Normal"/>
    <w:next w:val="APANote"/>
    <w:pPr>
      <w:spacing w:after="80" w:before="40" w:line="240" w:lineRule="auto"/>
      <w:ind w:firstLine="0" w:left="0"/>
      <w:jc w:val="left"/>
    </w:pPr>
    <w:rPr>
      <w:rFonts w:ascii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29" Target="media/rId29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25" Target="media/rId125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15" Target="media/rId115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33" Target="media/rId33.png" /><Relationship Type="http://schemas.openxmlformats.org/officeDocument/2006/relationships/image" Id="rId109" Target="media/rId109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142" Target="media/rId1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2026-08-26T18:39:48Z</dcterms:created>
  <dcterms:modified xsi:type="dcterms:W3CDTF">2026-08-26T18:39:48Z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