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ak2fjdf0nm8s"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PLACEMENT COMMITTEE 2025 - 2026</w:t>
      </w:r>
      <w:r w:rsidDel="00000000" w:rsidR="00000000" w:rsidRPr="00000000">
        <w:rPr>
          <w:rtl w:val="0"/>
        </w:rPr>
      </w:r>
    </w:p>
    <w:p w:rsidR="00000000" w:rsidDel="00000000" w:rsidP="00000000" w:rsidRDefault="00000000" w:rsidRPr="00000000" w14:paraId="00000002">
      <w:pPr>
        <w:rPr>
          <w:rFonts w:ascii="Georgia" w:cs="Georgia" w:eastAsia="Georgia" w:hAnsi="Georgia"/>
        </w:rPr>
      </w:pPr>
      <w:r w:rsidDel="00000000" w:rsidR="00000000" w:rsidRPr="00000000">
        <w:rPr>
          <w:rtl w:val="0"/>
        </w:rPr>
      </w:r>
    </w:p>
    <w:p w:rsidR="00000000" w:rsidDel="00000000" w:rsidP="00000000" w:rsidRDefault="00000000" w:rsidRPr="00000000" w14:paraId="00000003">
      <w:pPr>
        <w:rPr>
          <w:rFonts w:ascii="Georgia" w:cs="Georgia" w:eastAsia="Georgia" w:hAnsi="Georgia"/>
        </w:rPr>
      </w:pPr>
      <w:r w:rsidDel="00000000" w:rsidR="00000000" w:rsidRPr="00000000">
        <w:rPr>
          <w:rtl w:val="0"/>
        </w:rPr>
      </w:r>
    </w:p>
    <w:p w:rsidR="00000000" w:rsidDel="00000000" w:rsidP="00000000" w:rsidRDefault="00000000" w:rsidRPr="00000000" w14:paraId="00000004">
      <w:pPr>
        <w:spacing w:line="335.99999999999994" w:lineRule="auto"/>
        <w:rPr>
          <w:rFonts w:ascii="Georgia" w:cs="Georgia" w:eastAsia="Georgia" w:hAnsi="Georgia"/>
          <w:b w:val="1"/>
          <w:bCs w:val="1"/>
          <w:color w:val="cc0000"/>
          <w:sz w:val="62"/>
          <w:szCs w:val="62"/>
        </w:rPr>
      </w:pPr>
      <w:r w:rsidDel="00000000" w:rsidR="00000000" w:rsidRPr="00000000">
        <w:rPr>
          <w:rtl w:val="0"/>
        </w:rPr>
      </w:r>
    </w:p>
    <w:p w:rsidR="00000000" w:rsidDel="00000000" w:rsidP="00000000" w:rsidRDefault="00000000" w:rsidRPr="00000000" w14:paraId="00000005">
      <w:pPr>
        <w:spacing w:line="335.99999999999994" w:lineRule="auto"/>
        <w:jc w:val="center"/>
        <w:rPr>
          <w:rFonts w:ascii="Georgia" w:cs="Georgia" w:eastAsia="Georgia" w:hAnsi="Georgia"/>
          <w:b w:val="1"/>
          <w:bCs w:val="1"/>
          <w:color w:val="cc0000"/>
          <w:sz w:val="62"/>
          <w:szCs w:val="62"/>
        </w:rPr>
      </w:pPr>
      <w:r w:rsidDel="00000000" w:rsidR="00000000" w:rsidRPr="00000000">
        <w:rPr>
          <w:rtl w:val="0"/>
        </w:rPr>
      </w:r>
    </w:p>
    <w:p w:rsidR="00000000" w:rsidDel="00000000" w:rsidP="00000000" w:rsidRDefault="00000000" w:rsidRPr="00000000" w14:paraId="00000006">
      <w:pPr>
        <w:spacing w:line="335.99999999999994" w:lineRule="auto"/>
        <w:jc w:val="center"/>
        <w:rPr>
          <w:rFonts w:ascii="Georgia" w:cs="Georgia" w:eastAsia="Georgia" w:hAnsi="Georgia"/>
          <w:b w:val="1"/>
          <w:bCs w:val="1"/>
          <w:color w:val="cc0000"/>
          <w:sz w:val="62"/>
          <w:szCs w:val="62"/>
        </w:rPr>
      </w:pPr>
      <w:r w:rsidDel="00000000" w:rsidR="00000000" w:rsidRPr="00000000">
        <w:rPr>
          <w:rtl w:val="0"/>
        </w:rPr>
      </w:r>
    </w:p>
    <w:p w:rsidR="00000000" w:rsidDel="00000000" w:rsidP="00000000" w:rsidRDefault="00000000" w:rsidRPr="00000000" w14:paraId="00000007">
      <w:pPr>
        <w:spacing w:line="335.99999999999994" w:lineRule="auto"/>
        <w:rPr>
          <w:rFonts w:ascii="Georgia" w:cs="Georgia" w:eastAsia="Georgia" w:hAnsi="Georgia"/>
          <w:b w:val="1"/>
          <w:bCs w:val="1"/>
          <w:color w:val="cc0000"/>
          <w:sz w:val="62"/>
          <w:szCs w:val="62"/>
        </w:rPr>
      </w:pPr>
      <w:r w:rsidDel="00000000" w:rsidR="00000000" w:rsidRPr="00000000">
        <w:rPr>
          <w:rtl w:val="0"/>
        </w:rPr>
      </w:r>
    </w:p>
    <w:p w:rsidR="00000000" w:rsidDel="00000000" w:rsidP="00000000" w:rsidRDefault="00000000" w:rsidRPr="00000000" w14:paraId="00000008">
      <w:pPr>
        <w:spacing w:line="335.99999999999994" w:lineRule="auto"/>
        <w:jc w:val="center"/>
        <w:rPr>
          <w:rFonts w:ascii="Georgia" w:cs="Georgia" w:eastAsia="Georgia" w:hAnsi="Georgia"/>
          <w:b w:val="1"/>
          <w:bCs w:val="1"/>
          <w:color w:val="990000"/>
          <w:sz w:val="62"/>
          <w:szCs w:val="62"/>
        </w:rPr>
      </w:pPr>
      <w:r w:rsidDel="00000000" w:rsidR="00000000" w:rsidRPr="00000000">
        <w:rPr>
          <w:rFonts w:ascii="Georgia" w:cs="Georgia" w:eastAsia="Georgia" w:hAnsi="Georgia"/>
          <w:b w:val="1"/>
          <w:bCs w:val="1"/>
          <w:color w:val="990000"/>
          <w:sz w:val="62"/>
          <w:szCs w:val="62"/>
          <w:rtl w:val="0"/>
        </w:rPr>
        <w:t xml:space="preserve">PlaceCom</w:t>
      </w:r>
    </w:p>
    <w:p w:rsidR="00000000" w:rsidDel="00000000" w:rsidP="00000000" w:rsidRDefault="00000000" w:rsidRPr="00000000" w14:paraId="00000009">
      <w:pPr>
        <w:spacing w:line="335.99999999999994" w:lineRule="auto"/>
        <w:jc w:val="center"/>
        <w:rPr>
          <w:rFonts w:ascii="Georgia" w:cs="Georgia" w:eastAsia="Georgia" w:hAnsi="Georgia"/>
          <w:b w:val="1"/>
          <w:bCs w:val="1"/>
          <w:color w:val="990000"/>
          <w:sz w:val="62"/>
          <w:szCs w:val="62"/>
        </w:rPr>
      </w:pPr>
      <w:r w:rsidDel="00000000" w:rsidR="00000000" w:rsidRPr="00000000">
        <w:rPr>
          <w:rFonts w:ascii="Georgia" w:cs="Georgia" w:eastAsia="Georgia" w:hAnsi="Georgia"/>
          <w:b w:val="1"/>
          <w:bCs w:val="1"/>
          <w:color w:val="990000"/>
          <w:sz w:val="62"/>
          <w:szCs w:val="62"/>
          <w:rtl w:val="0"/>
        </w:rPr>
        <w:t xml:space="preserve">Consulting Toolkit</w:t>
      </w:r>
    </w:p>
    <w:p w:rsidR="00000000" w:rsidDel="00000000" w:rsidP="00000000" w:rsidRDefault="00000000" w:rsidRPr="00000000" w14:paraId="0000000A">
      <w:pPr>
        <w:spacing w:line="335.99999999999994" w:lineRule="auto"/>
        <w:jc w:val="center"/>
        <w:rPr>
          <w:rFonts w:ascii="Georgia" w:cs="Georgia" w:eastAsia="Georgia" w:hAnsi="Georgia"/>
          <w:b w:val="1"/>
          <w:bCs w:val="1"/>
          <w:color w:val="cc0000"/>
          <w:sz w:val="62"/>
          <w:szCs w:val="62"/>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952500</wp:posOffset>
            </wp:positionH>
            <wp:positionV relativeFrom="paragraph">
              <wp:posOffset>199940</wp:posOffset>
            </wp:positionV>
            <wp:extent cx="4040107" cy="2897451"/>
            <wp:effectExtent b="0" l="0" r="0" t="0"/>
            <wp:wrapNone/>
            <wp:docPr id="2" name="image1.png"/>
            <a:graphic>
              <a:graphicData uri="http://schemas.openxmlformats.org/drawingml/2006/picture">
                <pic:pic>
                  <pic:nvPicPr>
                    <pic:cNvPr id="0" name="image1.png"/>
                    <pic:cNvPicPr preferRelativeResize="0"/>
                  </pic:nvPicPr>
                  <pic:blipFill>
                    <a:blip r:embed="rId6"/>
                    <a:srcRect b="12031" l="0" r="0" t="16248"/>
                    <a:stretch>
                      <a:fillRect/>
                    </a:stretch>
                  </pic:blipFill>
                  <pic:spPr>
                    <a:xfrm>
                      <a:off x="0" y="0"/>
                      <a:ext cx="4040107" cy="2897451"/>
                    </a:xfrm>
                    <a:prstGeom prst="rect"/>
                    <a:ln/>
                  </pic:spPr>
                </pic:pic>
              </a:graphicData>
            </a:graphic>
          </wp:anchor>
        </w:drawing>
      </w:r>
    </w:p>
    <w:p w:rsidR="00000000" w:rsidDel="00000000" w:rsidP="00000000" w:rsidRDefault="00000000" w:rsidRPr="00000000" w14:paraId="0000000B">
      <w:pPr>
        <w:spacing w:line="335.99999999999994" w:lineRule="auto"/>
        <w:rPr>
          <w:rFonts w:ascii="Georgia" w:cs="Georgia" w:eastAsia="Georgia" w:hAnsi="Georgia"/>
        </w:rPr>
      </w:pPr>
      <w:r w:rsidDel="00000000" w:rsidR="00000000" w:rsidRPr="00000000">
        <w:rPr>
          <w:rtl w:val="0"/>
        </w:rPr>
      </w:r>
    </w:p>
    <w:p w:rsidR="00000000" w:rsidDel="00000000" w:rsidP="00000000" w:rsidRDefault="00000000" w:rsidRPr="00000000" w14:paraId="0000000C">
      <w:pPr>
        <w:spacing w:line="335.99999999999994" w:lineRule="auto"/>
        <w:rPr>
          <w:rFonts w:ascii="Georgia" w:cs="Georgia" w:eastAsia="Georgia" w:hAnsi="Georgia"/>
        </w:rPr>
      </w:pPr>
      <w:r w:rsidDel="00000000" w:rsidR="00000000" w:rsidRPr="00000000">
        <w:rPr>
          <w:rtl w:val="0"/>
        </w:rPr>
      </w:r>
    </w:p>
    <w:p w:rsidR="00000000" w:rsidDel="00000000" w:rsidP="00000000" w:rsidRDefault="00000000" w:rsidRPr="00000000" w14:paraId="0000000D">
      <w:pPr>
        <w:spacing w:line="335.99999999999994"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E">
      <w:pPr>
        <w:spacing w:line="335.99999999999994"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F">
      <w:pPr>
        <w:spacing w:line="335.99999999999994"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0">
      <w:pPr>
        <w:spacing w:line="335.99999999999994"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1">
      <w:pPr>
        <w:spacing w:line="335.99999999999994"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2">
      <w:pPr>
        <w:spacing w:line="335.99999999999994"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3">
      <w:pPr>
        <w:spacing w:line="335.99999999999994"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4">
      <w:pPr>
        <w:spacing w:line="335.99999999999994"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5">
      <w:pPr>
        <w:spacing w:line="335.99999999999994"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6">
      <w:pPr>
        <w:spacing w:line="335.99999999999994"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7">
      <w:pPr>
        <w:spacing w:line="335.99999999999994"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8">
      <w:pPr>
        <w:spacing w:line="335.99999999999994"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9">
      <w:pPr>
        <w:spacing w:after="240" w:before="240" w:lineRule="auto"/>
        <w:rPr>
          <w:rFonts w:ascii="Georgia" w:cs="Georgia" w:eastAsia="Georgia" w:hAnsi="Georgia"/>
          <w:b w:val="1"/>
          <w:bCs w:val="1"/>
          <w:sz w:val="24"/>
          <w:szCs w:val="24"/>
          <w:u w:val="single"/>
        </w:rPr>
      </w:pPr>
      <w:r w:rsidDel="00000000" w:rsidR="00000000" w:rsidRPr="00000000">
        <w:rPr>
          <w:rFonts w:ascii="Georgia" w:cs="Georgia" w:eastAsia="Georgia" w:hAnsi="Georgia"/>
          <w:b w:val="1"/>
          <w:bCs w:val="1"/>
          <w:sz w:val="24"/>
          <w:szCs w:val="24"/>
          <w:u w:val="single"/>
          <w:rtl w:val="0"/>
        </w:rPr>
        <w:t xml:space="preserve">CaseInterview.com (Victor Cheng)</w:t>
      </w:r>
    </w:p>
    <w:p w:rsidR="00000000" w:rsidDel="00000000" w:rsidP="00000000" w:rsidRDefault="00000000" w:rsidRPr="00000000" w14:paraId="0000001A">
      <w:pPr>
        <w:numPr>
          <w:ilvl w:val="0"/>
          <w:numId w:val="7"/>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URL:</w:t>
      </w:r>
      <w:hyperlink r:id="rId7">
        <w:r w:rsidDel="00000000" w:rsidR="00000000" w:rsidRPr="00000000">
          <w:rPr>
            <w:rFonts w:ascii="Georgia" w:cs="Georgia" w:eastAsia="Georgia" w:hAnsi="Georgia"/>
            <w:sz w:val="24"/>
            <w:szCs w:val="24"/>
            <w:rtl w:val="0"/>
          </w:rPr>
          <w:t xml:space="preserve"> </w:t>
        </w:r>
      </w:hyperlink>
      <w:hyperlink r:id="rId8">
        <w:r w:rsidDel="00000000" w:rsidR="00000000" w:rsidRPr="00000000">
          <w:rPr>
            <w:rFonts w:ascii="Georgia" w:cs="Georgia" w:eastAsia="Georgia" w:hAnsi="Georgia"/>
            <w:color w:val="1155cc"/>
            <w:sz w:val="24"/>
            <w:szCs w:val="24"/>
            <w:u w:val="single"/>
            <w:rtl w:val="0"/>
          </w:rPr>
          <w:t xml:space="preserve">https://www.caseinterview.com</w:t>
        </w:r>
      </w:hyperlink>
      <w:r w:rsidDel="00000000" w:rsidR="00000000" w:rsidRPr="00000000">
        <w:rPr>
          <w:rtl w:val="0"/>
        </w:rPr>
      </w:r>
    </w:p>
    <w:p w:rsidR="00000000" w:rsidDel="00000000" w:rsidP="00000000" w:rsidRDefault="00000000" w:rsidRPr="00000000" w14:paraId="0000001B">
      <w:pPr>
        <w:numPr>
          <w:ilvl w:val="0"/>
          <w:numId w:val="7"/>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Description: Comprehensive case interview preparation site by Victor Cheng, author of "Case Interview Secrets." Contains frameworks, practice cases, and step-by-step guidance for consulting interviews across all major firms.</w:t>
      </w:r>
    </w:p>
    <w:p w:rsidR="00000000" w:rsidDel="00000000" w:rsidP="00000000" w:rsidRDefault="00000000" w:rsidRPr="00000000" w14:paraId="0000001C">
      <w:pPr>
        <w:spacing w:after="240" w:before="240" w:lineRule="auto"/>
        <w:ind w:left="72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D">
      <w:pPr>
        <w:spacing w:after="240" w:before="240" w:lineRule="auto"/>
        <w:rPr>
          <w:rFonts w:ascii="Georgia" w:cs="Georgia" w:eastAsia="Georgia" w:hAnsi="Georgia"/>
          <w:b w:val="1"/>
          <w:bCs w:val="1"/>
          <w:sz w:val="24"/>
          <w:szCs w:val="24"/>
          <w:u w:val="single"/>
        </w:rPr>
      </w:pPr>
      <w:r w:rsidDel="00000000" w:rsidR="00000000" w:rsidRPr="00000000">
        <w:rPr>
          <w:rFonts w:ascii="Georgia" w:cs="Georgia" w:eastAsia="Georgia" w:hAnsi="Georgia"/>
          <w:b w:val="1"/>
          <w:bCs w:val="1"/>
          <w:sz w:val="24"/>
          <w:szCs w:val="24"/>
          <w:u w:val="single"/>
          <w:rtl w:val="0"/>
        </w:rPr>
        <w:t xml:space="preserve">Bridgespan Career Toolkit</w:t>
      </w:r>
    </w:p>
    <w:p w:rsidR="00000000" w:rsidDel="00000000" w:rsidP="00000000" w:rsidRDefault="00000000" w:rsidRPr="00000000" w14:paraId="0000001E">
      <w:pPr>
        <w:numPr>
          <w:ilvl w:val="0"/>
          <w:numId w:val="9"/>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URL:</w:t>
      </w:r>
      <w:hyperlink r:id="rId9">
        <w:r w:rsidDel="00000000" w:rsidR="00000000" w:rsidRPr="00000000">
          <w:rPr>
            <w:rFonts w:ascii="Georgia" w:cs="Georgia" w:eastAsia="Georgia" w:hAnsi="Georgia"/>
            <w:sz w:val="24"/>
            <w:szCs w:val="24"/>
            <w:rtl w:val="0"/>
          </w:rPr>
          <w:t xml:space="preserve"> </w:t>
        </w:r>
      </w:hyperlink>
      <w:hyperlink r:id="rId10">
        <w:r w:rsidDel="00000000" w:rsidR="00000000" w:rsidRPr="00000000">
          <w:rPr>
            <w:rFonts w:ascii="Georgia" w:cs="Georgia" w:eastAsia="Georgia" w:hAnsi="Georgia"/>
            <w:color w:val="1155cc"/>
            <w:sz w:val="24"/>
            <w:szCs w:val="24"/>
            <w:u w:val="single"/>
            <w:rtl w:val="0"/>
          </w:rPr>
          <w:t xml:space="preserve">https://www.bridgespan.org/about-us/careers-at-bridgespan/applicant-toolkit/preparing-for-your-consulting-interview</w:t>
        </w:r>
      </w:hyperlink>
      <w:r w:rsidDel="00000000" w:rsidR="00000000" w:rsidRPr="00000000">
        <w:rPr>
          <w:rtl w:val="0"/>
        </w:rPr>
      </w:r>
    </w:p>
    <w:p w:rsidR="00000000" w:rsidDel="00000000" w:rsidP="00000000" w:rsidRDefault="00000000" w:rsidRPr="00000000" w14:paraId="0000001F">
      <w:pPr>
        <w:numPr>
          <w:ilvl w:val="0"/>
          <w:numId w:val="9"/>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Description: Specialized resource for social sector and development consulting interviews. Provides case interview preparation specifically tailored for organizations like Bridgespan, FSG, and similar mission-driven consulting firms.</w:t>
      </w:r>
    </w:p>
    <w:p w:rsidR="00000000" w:rsidDel="00000000" w:rsidP="00000000" w:rsidRDefault="00000000" w:rsidRPr="00000000" w14:paraId="00000020">
      <w:pPr>
        <w:spacing w:after="240" w:before="240" w:lineRule="auto"/>
        <w:ind w:left="72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1">
      <w:pPr>
        <w:spacing w:after="240" w:before="240" w:lineRule="auto"/>
        <w:rPr>
          <w:rFonts w:ascii="Georgia" w:cs="Georgia" w:eastAsia="Georgia" w:hAnsi="Georgia"/>
          <w:b w:val="1"/>
          <w:bCs w:val="1"/>
          <w:sz w:val="24"/>
          <w:szCs w:val="24"/>
          <w:u w:val="single"/>
        </w:rPr>
      </w:pPr>
      <w:r w:rsidDel="00000000" w:rsidR="00000000" w:rsidRPr="00000000">
        <w:rPr>
          <w:rFonts w:ascii="Georgia" w:cs="Georgia" w:eastAsia="Georgia" w:hAnsi="Georgia"/>
          <w:b w:val="1"/>
          <w:bCs w:val="1"/>
          <w:sz w:val="24"/>
          <w:szCs w:val="24"/>
          <w:u w:val="single"/>
          <w:rtl w:val="0"/>
        </w:rPr>
        <w:t xml:space="preserve">Crafting Cases</w:t>
      </w:r>
    </w:p>
    <w:p w:rsidR="00000000" w:rsidDel="00000000" w:rsidP="00000000" w:rsidRDefault="00000000" w:rsidRPr="00000000" w14:paraId="00000022">
      <w:pPr>
        <w:numPr>
          <w:ilvl w:val="0"/>
          <w:numId w:val="3"/>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URL:</w:t>
      </w:r>
      <w:hyperlink r:id="rId11">
        <w:r w:rsidDel="00000000" w:rsidR="00000000" w:rsidRPr="00000000">
          <w:rPr>
            <w:rFonts w:ascii="Georgia" w:cs="Georgia" w:eastAsia="Georgia" w:hAnsi="Georgia"/>
            <w:sz w:val="24"/>
            <w:szCs w:val="24"/>
            <w:rtl w:val="0"/>
          </w:rPr>
          <w:t xml:space="preserve"> </w:t>
        </w:r>
      </w:hyperlink>
      <w:hyperlink r:id="rId12">
        <w:r w:rsidDel="00000000" w:rsidR="00000000" w:rsidRPr="00000000">
          <w:rPr>
            <w:rFonts w:ascii="Georgia" w:cs="Georgia" w:eastAsia="Georgia" w:hAnsi="Georgia"/>
            <w:color w:val="1155cc"/>
            <w:sz w:val="24"/>
            <w:szCs w:val="24"/>
            <w:u w:val="single"/>
            <w:rtl w:val="0"/>
          </w:rPr>
          <w:t xml:space="preserve">https://www.craftingcases.com</w:t>
        </w:r>
      </w:hyperlink>
      <w:r w:rsidDel="00000000" w:rsidR="00000000" w:rsidRPr="00000000">
        <w:rPr>
          <w:rtl w:val="0"/>
        </w:rPr>
      </w:r>
    </w:p>
    <w:p w:rsidR="00000000" w:rsidDel="00000000" w:rsidP="00000000" w:rsidRDefault="00000000" w:rsidRPr="00000000" w14:paraId="00000023">
      <w:pPr>
        <w:numPr>
          <w:ilvl w:val="0"/>
          <w:numId w:val="3"/>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Description: Consulting case interview preparation platform offering structured practice cases, frameworks, and interview strategies. Focuses on building analytical problem-solving skills and case structuring techniques.</w:t>
      </w:r>
    </w:p>
    <w:p w:rsidR="00000000" w:rsidDel="00000000" w:rsidP="00000000" w:rsidRDefault="00000000" w:rsidRPr="00000000" w14:paraId="00000024">
      <w:pPr>
        <w:spacing w:after="240" w:before="240" w:lineRule="auto"/>
        <w:rPr>
          <w:rFonts w:ascii="Georgia" w:cs="Georgia" w:eastAsia="Georgia" w:hAnsi="Georgia"/>
          <w:sz w:val="24"/>
          <w:szCs w:val="24"/>
          <w:u w:val="single"/>
        </w:rPr>
      </w:pPr>
      <w:r w:rsidDel="00000000" w:rsidR="00000000" w:rsidRPr="00000000">
        <w:rPr>
          <w:rtl w:val="0"/>
        </w:rPr>
      </w:r>
    </w:p>
    <w:p w:rsidR="00000000" w:rsidDel="00000000" w:rsidP="00000000" w:rsidRDefault="00000000" w:rsidRPr="00000000" w14:paraId="00000025">
      <w:pPr>
        <w:spacing w:after="240" w:before="240" w:lineRule="auto"/>
        <w:rPr>
          <w:rFonts w:ascii="Georgia" w:cs="Georgia" w:eastAsia="Georgia" w:hAnsi="Georgia"/>
          <w:b w:val="1"/>
          <w:bCs w:val="1"/>
          <w:sz w:val="24"/>
          <w:szCs w:val="24"/>
          <w:u w:val="single"/>
        </w:rPr>
      </w:pPr>
      <w:r w:rsidDel="00000000" w:rsidR="00000000" w:rsidRPr="00000000">
        <w:rPr>
          <w:rFonts w:ascii="Georgia" w:cs="Georgia" w:eastAsia="Georgia" w:hAnsi="Georgia"/>
          <w:b w:val="1"/>
          <w:bCs w:val="1"/>
          <w:sz w:val="24"/>
          <w:szCs w:val="24"/>
          <w:u w:val="single"/>
          <w:rtl w:val="0"/>
        </w:rPr>
        <w:t xml:space="preserve">The STAR Framework Revisited - Career in Consulting</w:t>
      </w:r>
    </w:p>
    <w:p w:rsidR="00000000" w:rsidDel="00000000" w:rsidP="00000000" w:rsidRDefault="00000000" w:rsidRPr="00000000" w14:paraId="00000026">
      <w:pPr>
        <w:numPr>
          <w:ilvl w:val="0"/>
          <w:numId w:val="1"/>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URL:</w:t>
      </w:r>
      <w:hyperlink r:id="rId13">
        <w:r w:rsidDel="00000000" w:rsidR="00000000" w:rsidRPr="00000000">
          <w:rPr>
            <w:rFonts w:ascii="Georgia" w:cs="Georgia" w:eastAsia="Georgia" w:hAnsi="Georgia"/>
            <w:sz w:val="24"/>
            <w:szCs w:val="24"/>
            <w:rtl w:val="0"/>
          </w:rPr>
          <w:t xml:space="preserve"> </w:t>
        </w:r>
      </w:hyperlink>
      <w:hyperlink r:id="rId14">
        <w:r w:rsidDel="00000000" w:rsidR="00000000" w:rsidRPr="00000000">
          <w:rPr>
            <w:rFonts w:ascii="Georgia" w:cs="Georgia" w:eastAsia="Georgia" w:hAnsi="Georgia"/>
            <w:color w:val="1155cc"/>
            <w:sz w:val="24"/>
            <w:szCs w:val="24"/>
            <w:u w:val="single"/>
            <w:rtl w:val="0"/>
          </w:rPr>
          <w:t xml:space="preserve">https://careerinconsulting.com/the-star-framework-revisited/</w:t>
        </w:r>
      </w:hyperlink>
      <w:r w:rsidDel="00000000" w:rsidR="00000000" w:rsidRPr="00000000">
        <w:rPr>
          <w:rtl w:val="0"/>
        </w:rPr>
      </w:r>
    </w:p>
    <w:p w:rsidR="00000000" w:rsidDel="00000000" w:rsidP="00000000" w:rsidRDefault="00000000" w:rsidRPr="00000000" w14:paraId="00000027">
      <w:pPr>
        <w:numPr>
          <w:ilvl w:val="0"/>
          <w:numId w:val="1"/>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Description: Comprehensive guide on using the STAR framework specifically for consulting interviews. Provides a detailed 7-step approach: set the scene, lay out the problem, highlight why the problem matters, clarify your role, share your thinking process, detail your actions, and discuss results. Features real example answers and specific guidance for behavioral questions in consulting interviews at McKinsey, BCG, and Bain.</w:t>
      </w:r>
    </w:p>
    <w:p w:rsidR="00000000" w:rsidDel="00000000" w:rsidP="00000000" w:rsidRDefault="00000000" w:rsidRPr="00000000" w14:paraId="00000028">
      <w:pPr>
        <w:spacing w:after="240" w:before="240" w:lineRule="auto"/>
        <w:ind w:left="72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9">
      <w:pPr>
        <w:spacing w:after="240" w:before="240" w:lineRule="auto"/>
        <w:rPr>
          <w:rFonts w:ascii="Georgia" w:cs="Georgia" w:eastAsia="Georgia" w:hAnsi="Georgia"/>
          <w:b w:val="1"/>
          <w:bCs w:val="1"/>
          <w:sz w:val="24"/>
          <w:szCs w:val="24"/>
          <w:u w:val="single"/>
        </w:rPr>
      </w:pPr>
      <w:r w:rsidDel="00000000" w:rsidR="00000000" w:rsidRPr="00000000">
        <w:rPr>
          <w:rFonts w:ascii="Georgia" w:cs="Georgia" w:eastAsia="Georgia" w:hAnsi="Georgia"/>
          <w:b w:val="1"/>
          <w:bCs w:val="1"/>
          <w:sz w:val="24"/>
          <w:szCs w:val="24"/>
          <w:u w:val="single"/>
          <w:rtl w:val="0"/>
        </w:rPr>
        <w:t xml:space="preserve">ConsultingCase101</w:t>
      </w:r>
    </w:p>
    <w:p w:rsidR="00000000" w:rsidDel="00000000" w:rsidP="00000000" w:rsidRDefault="00000000" w:rsidRPr="00000000" w14:paraId="0000002A">
      <w:pPr>
        <w:numPr>
          <w:ilvl w:val="0"/>
          <w:numId w:val="4"/>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URL:</w:t>
      </w:r>
      <w:hyperlink r:id="rId15">
        <w:r w:rsidDel="00000000" w:rsidR="00000000" w:rsidRPr="00000000">
          <w:rPr>
            <w:rFonts w:ascii="Georgia" w:cs="Georgia" w:eastAsia="Georgia" w:hAnsi="Georgia"/>
            <w:sz w:val="24"/>
            <w:szCs w:val="24"/>
            <w:rtl w:val="0"/>
          </w:rPr>
          <w:t xml:space="preserve"> </w:t>
        </w:r>
      </w:hyperlink>
      <w:hyperlink r:id="rId16">
        <w:r w:rsidDel="00000000" w:rsidR="00000000" w:rsidRPr="00000000">
          <w:rPr>
            <w:rFonts w:ascii="Georgia" w:cs="Georgia" w:eastAsia="Georgia" w:hAnsi="Georgia"/>
            <w:color w:val="1155cc"/>
            <w:sz w:val="24"/>
            <w:szCs w:val="24"/>
            <w:u w:val="single"/>
            <w:rtl w:val="0"/>
          </w:rPr>
          <w:t xml:space="preserve">https://www.consultingcase101.com</w:t>
        </w:r>
      </w:hyperlink>
      <w:r w:rsidDel="00000000" w:rsidR="00000000" w:rsidRPr="00000000">
        <w:rPr>
          <w:rtl w:val="0"/>
        </w:rPr>
      </w:r>
    </w:p>
    <w:p w:rsidR="00000000" w:rsidDel="00000000" w:rsidP="00000000" w:rsidRDefault="00000000" w:rsidRPr="00000000" w14:paraId="0000002B">
      <w:pPr>
        <w:numPr>
          <w:ilvl w:val="0"/>
          <w:numId w:val="4"/>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Description: Case interview database where you can search case interview questions by type, industry, or company. Comprehensive resource covering the consulting industry overview, firm descriptions, practice areas, interviewing advice, and includes "A Day in the Life of Management Consultants" series featuring 23 consultants from 19 firms. Offers both free content and premium access options.</w:t>
      </w:r>
    </w:p>
    <w:p w:rsidR="00000000" w:rsidDel="00000000" w:rsidP="00000000" w:rsidRDefault="00000000" w:rsidRPr="00000000" w14:paraId="0000002C">
      <w:pPr>
        <w:spacing w:after="240" w:before="240" w:lineRule="auto"/>
        <w:rPr>
          <w:rFonts w:ascii="Georgia" w:cs="Georgia" w:eastAsia="Georgia" w:hAnsi="Georgia"/>
          <w:b w:val="1"/>
          <w:bCs w:val="1"/>
          <w:sz w:val="24"/>
          <w:szCs w:val="24"/>
          <w:u w:val="single"/>
        </w:rPr>
      </w:pPr>
      <w:r w:rsidDel="00000000" w:rsidR="00000000" w:rsidRPr="00000000">
        <w:rPr>
          <w:rFonts w:ascii="Georgia" w:cs="Georgia" w:eastAsia="Georgia" w:hAnsi="Georgia"/>
          <w:b w:val="1"/>
          <w:bCs w:val="1"/>
          <w:sz w:val="24"/>
          <w:szCs w:val="24"/>
          <w:u w:val="single"/>
          <w:rtl w:val="0"/>
        </w:rPr>
        <w:t xml:space="preserve">Practice Aptitude Tests - McKinsey Assessments</w:t>
      </w:r>
    </w:p>
    <w:p w:rsidR="00000000" w:rsidDel="00000000" w:rsidP="00000000" w:rsidRDefault="00000000" w:rsidRPr="00000000" w14:paraId="0000002D">
      <w:pPr>
        <w:numPr>
          <w:ilvl w:val="0"/>
          <w:numId w:val="6"/>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URL:</w:t>
      </w:r>
      <w:hyperlink r:id="rId17">
        <w:r w:rsidDel="00000000" w:rsidR="00000000" w:rsidRPr="00000000">
          <w:rPr>
            <w:rFonts w:ascii="Georgia" w:cs="Georgia" w:eastAsia="Georgia" w:hAnsi="Georgia"/>
            <w:sz w:val="24"/>
            <w:szCs w:val="24"/>
            <w:rtl w:val="0"/>
          </w:rPr>
          <w:t xml:space="preserve"> </w:t>
        </w:r>
      </w:hyperlink>
      <w:hyperlink r:id="rId18">
        <w:r w:rsidDel="00000000" w:rsidR="00000000" w:rsidRPr="00000000">
          <w:rPr>
            <w:rFonts w:ascii="Georgia" w:cs="Georgia" w:eastAsia="Georgia" w:hAnsi="Georgia"/>
            <w:color w:val="1155cc"/>
            <w:sz w:val="24"/>
            <w:szCs w:val="24"/>
            <w:u w:val="single"/>
            <w:rtl w:val="0"/>
          </w:rPr>
          <w:t xml:space="preserve">https://www.practiceaptitudetests.com/top-employer-profiles/mckinsey-and-co-assessments/</w:t>
        </w:r>
      </w:hyperlink>
      <w:r w:rsidDel="00000000" w:rsidR="00000000" w:rsidRPr="00000000">
        <w:rPr>
          <w:rtl w:val="0"/>
        </w:rPr>
      </w:r>
    </w:p>
    <w:p w:rsidR="00000000" w:rsidDel="00000000" w:rsidP="00000000" w:rsidRDefault="00000000" w:rsidRPr="00000000" w14:paraId="0000002E">
      <w:pPr>
        <w:numPr>
          <w:ilvl w:val="0"/>
          <w:numId w:val="6"/>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Description: Comprehensive guide to McKinsey Problem Solving Test preparation. Covers the standardized test used to assess problem-solving skills of potential consultants, including test format, sample questions, and practice materials for analyzing complex business problems.</w:t>
      </w:r>
    </w:p>
    <w:p w:rsidR="00000000" w:rsidDel="00000000" w:rsidP="00000000" w:rsidRDefault="00000000" w:rsidRPr="00000000" w14:paraId="0000002F">
      <w:pPr>
        <w:spacing w:after="240" w:before="240" w:lineRule="auto"/>
        <w:rPr>
          <w:rFonts w:ascii="Georgia" w:cs="Georgia" w:eastAsia="Georgia" w:hAnsi="Georgia"/>
          <w:b w:val="1"/>
          <w:bCs w:val="1"/>
          <w:sz w:val="24"/>
          <w:szCs w:val="24"/>
          <w:u w:val="single"/>
        </w:rPr>
      </w:pPr>
      <w:r w:rsidDel="00000000" w:rsidR="00000000" w:rsidRPr="00000000">
        <w:rPr>
          <w:rFonts w:ascii="Georgia" w:cs="Georgia" w:eastAsia="Georgia" w:hAnsi="Georgia"/>
          <w:b w:val="1"/>
          <w:bCs w:val="1"/>
          <w:sz w:val="24"/>
          <w:szCs w:val="24"/>
          <w:u w:val="single"/>
          <w:rtl w:val="0"/>
        </w:rPr>
        <w:t xml:space="preserve">Graduates First - McKinsey Assessment Tests</w:t>
      </w:r>
    </w:p>
    <w:p w:rsidR="00000000" w:rsidDel="00000000" w:rsidP="00000000" w:rsidRDefault="00000000" w:rsidRPr="00000000" w14:paraId="00000030">
      <w:pPr>
        <w:numPr>
          <w:ilvl w:val="0"/>
          <w:numId w:val="10"/>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URL:</w:t>
      </w:r>
      <w:hyperlink r:id="rId19">
        <w:r w:rsidDel="00000000" w:rsidR="00000000" w:rsidRPr="00000000">
          <w:rPr>
            <w:rFonts w:ascii="Georgia" w:cs="Georgia" w:eastAsia="Georgia" w:hAnsi="Georgia"/>
            <w:sz w:val="24"/>
            <w:szCs w:val="24"/>
            <w:rtl w:val="0"/>
          </w:rPr>
          <w:t xml:space="preserve"> </w:t>
        </w:r>
      </w:hyperlink>
      <w:hyperlink r:id="rId20">
        <w:r w:rsidDel="00000000" w:rsidR="00000000" w:rsidRPr="00000000">
          <w:rPr>
            <w:rFonts w:ascii="Georgia" w:cs="Georgia" w:eastAsia="Georgia" w:hAnsi="Georgia"/>
            <w:color w:val="1155cc"/>
            <w:sz w:val="24"/>
            <w:szCs w:val="24"/>
            <w:u w:val="single"/>
            <w:rtl w:val="0"/>
          </w:rPr>
          <w:t xml:space="preserve">https://www.graduatesfirst.com/mckinsey-company-assessment-tests</w:t>
        </w:r>
      </w:hyperlink>
      <w:r w:rsidDel="00000000" w:rsidR="00000000" w:rsidRPr="00000000">
        <w:rPr>
          <w:rtl w:val="0"/>
        </w:rPr>
      </w:r>
    </w:p>
    <w:p w:rsidR="00000000" w:rsidDel="00000000" w:rsidP="00000000" w:rsidRDefault="00000000" w:rsidRPr="00000000" w14:paraId="00000031">
      <w:pPr>
        <w:numPr>
          <w:ilvl w:val="0"/>
          <w:numId w:val="10"/>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Description: Complete 2025 practice guide for McKinsey assessment tests and interviews. Provides preparation materials and practice questions, noting that 60-80% of candidates are rejected based on aptitude test results, emphasizing the importance of practice.</w:t>
      </w:r>
    </w:p>
    <w:p w:rsidR="00000000" w:rsidDel="00000000" w:rsidP="00000000" w:rsidRDefault="00000000" w:rsidRPr="00000000" w14:paraId="00000032">
      <w:pPr>
        <w:spacing w:after="240" w:before="240" w:lineRule="auto"/>
        <w:rPr>
          <w:rFonts w:ascii="Georgia" w:cs="Georgia" w:eastAsia="Georgia" w:hAnsi="Georgia"/>
          <w:b w:val="1"/>
          <w:bCs w:val="1"/>
          <w:sz w:val="24"/>
          <w:szCs w:val="24"/>
          <w:u w:val="single"/>
        </w:rPr>
      </w:pPr>
      <w:r w:rsidDel="00000000" w:rsidR="00000000" w:rsidRPr="00000000">
        <w:rPr>
          <w:rFonts w:ascii="Georgia" w:cs="Georgia" w:eastAsia="Georgia" w:hAnsi="Georgia"/>
          <w:b w:val="1"/>
          <w:bCs w:val="1"/>
          <w:sz w:val="24"/>
          <w:szCs w:val="24"/>
          <w:u w:val="single"/>
          <w:rtl w:val="0"/>
        </w:rPr>
        <w:t xml:space="preserve">My Consulting Offer - Deloitte Online Assessment</w:t>
      </w:r>
    </w:p>
    <w:p w:rsidR="00000000" w:rsidDel="00000000" w:rsidP="00000000" w:rsidRDefault="00000000" w:rsidRPr="00000000" w14:paraId="00000033">
      <w:pPr>
        <w:numPr>
          <w:ilvl w:val="0"/>
          <w:numId w:val="5"/>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URL:</w:t>
      </w:r>
      <w:hyperlink r:id="rId21">
        <w:r w:rsidDel="00000000" w:rsidR="00000000" w:rsidRPr="00000000">
          <w:rPr>
            <w:rFonts w:ascii="Georgia" w:cs="Georgia" w:eastAsia="Georgia" w:hAnsi="Georgia"/>
            <w:sz w:val="24"/>
            <w:szCs w:val="24"/>
            <w:rtl w:val="0"/>
          </w:rPr>
          <w:t xml:space="preserve"> </w:t>
        </w:r>
      </w:hyperlink>
      <w:hyperlink r:id="rId22">
        <w:r w:rsidDel="00000000" w:rsidR="00000000" w:rsidRPr="00000000">
          <w:rPr>
            <w:rFonts w:ascii="Georgia" w:cs="Georgia" w:eastAsia="Georgia" w:hAnsi="Georgia"/>
            <w:color w:val="1155cc"/>
            <w:sz w:val="24"/>
            <w:szCs w:val="24"/>
            <w:u w:val="single"/>
            <w:rtl w:val="0"/>
          </w:rPr>
          <w:t xml:space="preserve">https://www.myconsultingoffer.org/case-study-interview-prep/deloitte-online-assessment/</w:t>
        </w:r>
      </w:hyperlink>
      <w:r w:rsidDel="00000000" w:rsidR="00000000" w:rsidRPr="00000000">
        <w:rPr>
          <w:rtl w:val="0"/>
        </w:rPr>
      </w:r>
    </w:p>
    <w:p w:rsidR="00000000" w:rsidDel="00000000" w:rsidP="00000000" w:rsidRDefault="00000000" w:rsidRPr="00000000" w14:paraId="00000034">
      <w:pPr>
        <w:numPr>
          <w:ilvl w:val="0"/>
          <w:numId w:val="5"/>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Description: Guide to acing Deloitte's online assessment and job simulation tools. Covers the new pre-screening process candidates must pass before live interviews, including test format and preparation strategies.</w:t>
      </w:r>
    </w:p>
    <w:p w:rsidR="00000000" w:rsidDel="00000000" w:rsidP="00000000" w:rsidRDefault="00000000" w:rsidRPr="00000000" w14:paraId="00000035">
      <w:pPr>
        <w:spacing w:after="240" w:before="240" w:lineRule="auto"/>
        <w:rPr>
          <w:rFonts w:ascii="Georgia" w:cs="Georgia" w:eastAsia="Georgia" w:hAnsi="Georgia"/>
          <w:b w:val="1"/>
          <w:bCs w:val="1"/>
          <w:sz w:val="24"/>
          <w:szCs w:val="24"/>
          <w:u w:val="single"/>
        </w:rPr>
      </w:pPr>
      <w:r w:rsidDel="00000000" w:rsidR="00000000" w:rsidRPr="00000000">
        <w:rPr>
          <w:rFonts w:ascii="Georgia" w:cs="Georgia" w:eastAsia="Georgia" w:hAnsi="Georgia"/>
          <w:b w:val="1"/>
          <w:bCs w:val="1"/>
          <w:sz w:val="24"/>
          <w:szCs w:val="24"/>
          <w:u w:val="single"/>
          <w:rtl w:val="0"/>
        </w:rPr>
        <w:t xml:space="preserve">MConsultingPrep - Deloitte Online Assessment</w:t>
      </w:r>
    </w:p>
    <w:p w:rsidR="00000000" w:rsidDel="00000000" w:rsidP="00000000" w:rsidRDefault="00000000" w:rsidRPr="00000000" w14:paraId="00000036">
      <w:pPr>
        <w:numPr>
          <w:ilvl w:val="0"/>
          <w:numId w:val="2"/>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URL:</w:t>
      </w:r>
      <w:hyperlink r:id="rId23">
        <w:r w:rsidDel="00000000" w:rsidR="00000000" w:rsidRPr="00000000">
          <w:rPr>
            <w:rFonts w:ascii="Georgia" w:cs="Georgia" w:eastAsia="Georgia" w:hAnsi="Georgia"/>
            <w:sz w:val="24"/>
            <w:szCs w:val="24"/>
            <w:rtl w:val="0"/>
          </w:rPr>
          <w:t xml:space="preserve"> </w:t>
        </w:r>
      </w:hyperlink>
      <w:hyperlink r:id="rId24">
        <w:r w:rsidDel="00000000" w:rsidR="00000000" w:rsidRPr="00000000">
          <w:rPr>
            <w:rFonts w:ascii="Georgia" w:cs="Georgia" w:eastAsia="Georgia" w:hAnsi="Georgia"/>
            <w:color w:val="1155cc"/>
            <w:sz w:val="24"/>
            <w:szCs w:val="24"/>
            <w:u w:val="single"/>
            <w:rtl w:val="0"/>
          </w:rPr>
          <w:t xml:space="preserve">https://mconsultingprep.com/deloitte-online-assessment/</w:t>
        </w:r>
      </w:hyperlink>
      <w:r w:rsidDel="00000000" w:rsidR="00000000" w:rsidRPr="00000000">
        <w:rPr>
          <w:rtl w:val="0"/>
        </w:rPr>
      </w:r>
    </w:p>
    <w:p w:rsidR="00000000" w:rsidDel="00000000" w:rsidP="00000000" w:rsidRDefault="00000000" w:rsidRPr="00000000" w14:paraId="00000037">
      <w:pPr>
        <w:numPr>
          <w:ilvl w:val="0"/>
          <w:numId w:val="2"/>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Description: Detailed process guide for Deloitte Online Assessment screening test. Covers verbal reasoning, numerical reasoning, situational strength and personality trait assessments designed specifically for Deloitte to filter candidates before interviews.</w:t>
      </w:r>
    </w:p>
    <w:p w:rsidR="00000000" w:rsidDel="00000000" w:rsidP="00000000" w:rsidRDefault="00000000" w:rsidRPr="00000000" w14:paraId="00000038">
      <w:pPr>
        <w:spacing w:after="240" w:before="240" w:lineRule="auto"/>
        <w:rPr>
          <w:rFonts w:ascii="Georgia" w:cs="Georgia" w:eastAsia="Georgia" w:hAnsi="Georgia"/>
          <w:b w:val="1"/>
          <w:bCs w:val="1"/>
          <w:sz w:val="24"/>
          <w:szCs w:val="24"/>
          <w:u w:val="single"/>
        </w:rPr>
      </w:pPr>
      <w:r w:rsidDel="00000000" w:rsidR="00000000" w:rsidRPr="00000000">
        <w:rPr>
          <w:rFonts w:ascii="Georgia" w:cs="Georgia" w:eastAsia="Georgia" w:hAnsi="Georgia"/>
          <w:b w:val="1"/>
          <w:bCs w:val="1"/>
          <w:sz w:val="24"/>
          <w:szCs w:val="24"/>
          <w:u w:val="single"/>
          <w:rtl w:val="0"/>
        </w:rPr>
        <w:t xml:space="preserve">Scribd - ZS Associates Test Papers</w:t>
      </w:r>
    </w:p>
    <w:p w:rsidR="00000000" w:rsidDel="00000000" w:rsidP="00000000" w:rsidRDefault="00000000" w:rsidRPr="00000000" w14:paraId="00000039">
      <w:pPr>
        <w:numPr>
          <w:ilvl w:val="0"/>
          <w:numId w:val="8"/>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URL:</w:t>
      </w:r>
      <w:hyperlink r:id="rId25">
        <w:r w:rsidDel="00000000" w:rsidR="00000000" w:rsidRPr="00000000">
          <w:rPr>
            <w:rFonts w:ascii="Georgia" w:cs="Georgia" w:eastAsia="Georgia" w:hAnsi="Georgia"/>
            <w:sz w:val="24"/>
            <w:szCs w:val="24"/>
            <w:rtl w:val="0"/>
          </w:rPr>
          <w:t xml:space="preserve"> </w:t>
        </w:r>
      </w:hyperlink>
      <w:hyperlink r:id="rId26">
        <w:r w:rsidDel="00000000" w:rsidR="00000000" w:rsidRPr="00000000">
          <w:rPr>
            <w:rFonts w:ascii="Georgia" w:cs="Georgia" w:eastAsia="Georgia" w:hAnsi="Georgia"/>
            <w:color w:val="1155cc"/>
            <w:sz w:val="24"/>
            <w:szCs w:val="24"/>
            <w:u w:val="single"/>
            <w:rtl w:val="0"/>
          </w:rPr>
          <w:t xml:space="preserve">https://www.scribd.com/document/585409475/ZS-Associates-Previous-Test-Placement-Papers</w:t>
        </w:r>
      </w:hyperlink>
      <w:r w:rsidDel="00000000" w:rsidR="00000000" w:rsidRPr="00000000">
        <w:rPr>
          <w:rtl w:val="0"/>
        </w:rPr>
      </w:r>
    </w:p>
    <w:p w:rsidR="00000000" w:rsidDel="00000000" w:rsidP="00000000" w:rsidRDefault="00000000" w:rsidRPr="00000000" w14:paraId="0000003A">
      <w:pPr>
        <w:numPr>
          <w:ilvl w:val="0"/>
          <w:numId w:val="8"/>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Description: Collection of previous ZS Associates placement test papers and sample questions. Provides insight into the assessment format and question types used by ZS Associates for their recruitment process.</w:t>
      </w:r>
    </w:p>
    <w:p w:rsidR="00000000" w:rsidDel="00000000" w:rsidP="00000000" w:rsidRDefault="00000000" w:rsidRPr="00000000" w14:paraId="0000003B">
      <w:pPr>
        <w:spacing w:after="240" w:before="240" w:lineRule="auto"/>
        <w:rPr>
          <w:rFonts w:ascii="Georgia" w:cs="Georgia" w:eastAsia="Georgia" w:hAnsi="Georgia"/>
          <w:b w:val="1"/>
          <w:bCs w:val="1"/>
          <w:sz w:val="24"/>
          <w:szCs w:val="24"/>
          <w:u w:val="single"/>
        </w:rPr>
      </w:pPr>
      <w:r w:rsidDel="00000000" w:rsidR="00000000" w:rsidRPr="00000000">
        <w:rPr>
          <w:rFonts w:ascii="Georgia" w:cs="Georgia" w:eastAsia="Georgia" w:hAnsi="Georgia"/>
          <w:b w:val="1"/>
          <w:bCs w:val="1"/>
          <w:sz w:val="24"/>
          <w:szCs w:val="24"/>
          <w:u w:val="single"/>
          <w:rtl w:val="0"/>
        </w:rPr>
        <w:t xml:space="preserve">BCG Online Case Example (PDF)</w:t>
      </w:r>
    </w:p>
    <w:p w:rsidR="00000000" w:rsidDel="00000000" w:rsidP="00000000" w:rsidRDefault="00000000" w:rsidRPr="00000000" w14:paraId="0000003C">
      <w:pPr>
        <w:numPr>
          <w:ilvl w:val="0"/>
          <w:numId w:val="11"/>
        </w:numPr>
        <w:spacing w:after="0" w:afterAutospacing="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URL:</w:t>
      </w:r>
      <w:hyperlink r:id="rId27">
        <w:r w:rsidDel="00000000" w:rsidR="00000000" w:rsidRPr="00000000">
          <w:rPr>
            <w:rFonts w:ascii="Georgia" w:cs="Georgia" w:eastAsia="Georgia" w:hAnsi="Georgia"/>
            <w:sz w:val="24"/>
            <w:szCs w:val="24"/>
            <w:rtl w:val="0"/>
          </w:rPr>
          <w:t xml:space="preserve"> </w:t>
        </w:r>
      </w:hyperlink>
      <w:hyperlink r:id="rId28">
        <w:r w:rsidDel="00000000" w:rsidR="00000000" w:rsidRPr="00000000">
          <w:rPr>
            <w:rFonts w:ascii="Georgia" w:cs="Georgia" w:eastAsia="Georgia" w:hAnsi="Georgia"/>
            <w:color w:val="1155cc"/>
            <w:sz w:val="24"/>
            <w:szCs w:val="24"/>
            <w:u w:val="single"/>
            <w:rtl w:val="0"/>
          </w:rPr>
          <w:t xml:space="preserve">https://media-publications.bcg.com/BCG-Online-Case-Example.pdf</w:t>
        </w:r>
      </w:hyperlink>
      <w:r w:rsidDel="00000000" w:rsidR="00000000" w:rsidRPr="00000000">
        <w:rPr>
          <w:rtl w:val="0"/>
        </w:rPr>
      </w:r>
    </w:p>
    <w:p w:rsidR="00000000" w:rsidDel="00000000" w:rsidP="00000000" w:rsidRDefault="00000000" w:rsidRPr="00000000" w14:paraId="0000003D">
      <w:pPr>
        <w:numPr>
          <w:ilvl w:val="0"/>
          <w:numId w:val="11"/>
        </w:numPr>
        <w:spacing w:after="24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Description: Official BCG online case study example in PDF format. Provides a real sample of BCG's online case interview format, showing the structure and approach used in their digital assessment process.</w:t>
      </w:r>
    </w:p>
    <w:p w:rsidR="00000000" w:rsidDel="00000000" w:rsidP="00000000" w:rsidRDefault="00000000" w:rsidRPr="00000000" w14:paraId="0000003E">
      <w:pPr>
        <w:spacing w:after="240" w:befor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F">
      <w:pPr>
        <w:spacing w:after="240" w:befor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0">
      <w:pPr>
        <w:rPr>
          <w:rFonts w:ascii="Georgia" w:cs="Georgia" w:eastAsia="Georgia" w:hAnsi="Georgia"/>
        </w:rPr>
      </w:pPr>
      <w:r w:rsidDel="00000000" w:rsidR="00000000" w:rsidRPr="00000000">
        <w:rPr>
          <w:rtl w:val="0"/>
        </w:rPr>
      </w:r>
    </w:p>
    <w:p w:rsidR="00000000" w:rsidDel="00000000" w:rsidP="00000000" w:rsidRDefault="00000000" w:rsidRPr="00000000" w14:paraId="00000041">
      <w:pPr>
        <w:rPr>
          <w:rFonts w:ascii="Georgia" w:cs="Georgia" w:eastAsia="Georgia" w:hAnsi="Georgia"/>
        </w:rPr>
      </w:pPr>
      <w:r w:rsidDel="00000000" w:rsidR="00000000" w:rsidRPr="00000000">
        <w:rPr>
          <w:rtl w:val="0"/>
        </w:rPr>
      </w:r>
    </w:p>
    <w:sectPr>
      <w:headerReference r:id="rId29"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spacing w:line="276" w:lineRule="auto"/>
      <w:ind w:left="-1170" w:firstLine="0"/>
      <w:jc w:val="center"/>
      <w:rPr>
        <w:rFonts w:ascii="Georgia" w:cs="Georgia" w:eastAsia="Georgia" w:hAnsi="Georgia"/>
        <w:color w:val="ffffff"/>
      </w:rPr>
    </w:pPr>
    <w:r w:rsidDel="00000000" w:rsidR="00000000" w:rsidRPr="00000000">
      <w:rPr>
        <w:rFonts w:ascii="Georgia" w:cs="Georgia" w:eastAsia="Georgia" w:hAnsi="Georgia"/>
        <w:color w:val="ffffff"/>
        <w:rtl w:val="0"/>
      </w:rPr>
      <w:t xml:space="preserve">                     Disclaimer: Please make sure to open the document on a laptop to access the document properly.</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-1404935</wp:posOffset>
              </wp:positionH>
              <wp:positionV relativeFrom="paragraph">
                <wp:posOffset>-109535</wp:posOffset>
              </wp:positionV>
              <wp:extent cx="9415463" cy="385763"/>
              <wp:effectExtent b="0" l="0" r="0" t="0"/>
              <wp:wrapNone/>
              <wp:docPr id="1" name=""/>
              <a:graphic>
                <a:graphicData uri="http://schemas.microsoft.com/office/word/2010/wordprocessingShape">
                  <wps:wsp>
                    <wps:cNvSpPr/>
                    <wps:cNvPr id="2" name="Shape 2"/>
                    <wps:spPr>
                      <a:xfrm>
                        <a:off x="1326300" y="3637950"/>
                        <a:ext cx="8039400" cy="284100"/>
                      </a:xfrm>
                      <a:prstGeom prst="rect">
                        <a:avLst/>
                      </a:prstGeom>
                      <a:solidFill>
                        <a:srgbClr val="113655"/>
                      </a:solidFill>
                      <a:ln>
                        <a:noFill/>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-1404935</wp:posOffset>
              </wp:positionH>
              <wp:positionV relativeFrom="paragraph">
                <wp:posOffset>-109535</wp:posOffset>
              </wp:positionV>
              <wp:extent cx="9415463" cy="385763"/>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9415463" cy="385763"/>
                      </a:xfrm>
                      <a:prstGeom prst="rect"/>
                      <a:ln/>
                    </pic:spPr>
                  </pic:pic>
                </a:graphicData>
              </a:graphic>
            </wp:anchor>
          </w:drawing>
        </mc:Fallback>
      </mc:AlternateContent>
    </w:r>
  </w:p>
  <w:p w:rsidR="00000000" w:rsidDel="00000000" w:rsidP="00000000" w:rsidRDefault="00000000" w:rsidRPr="00000000" w14:paraId="00000043">
    <w:pPr>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graduatesfirst.com/mckinsey-company-assessment-tests" TargetMode="External"/><Relationship Id="rId22" Type="http://schemas.openxmlformats.org/officeDocument/2006/relationships/hyperlink" Target="https://www.myconsultingoffer.org/case-study-interview-prep/deloitte-online-assessment/" TargetMode="External"/><Relationship Id="rId21" Type="http://schemas.openxmlformats.org/officeDocument/2006/relationships/hyperlink" Target="https://www.myconsultingoffer.org/case-study-interview-prep/deloitte-online-assessment/" TargetMode="External"/><Relationship Id="rId24" Type="http://schemas.openxmlformats.org/officeDocument/2006/relationships/hyperlink" Target="https://mconsultingprep.com/deloitte-online-assessment/" TargetMode="External"/><Relationship Id="rId23" Type="http://schemas.openxmlformats.org/officeDocument/2006/relationships/hyperlink" Target="https://mconsultingprep.com/deloitte-online-assessmen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ridgespan.org/about-us/careers-at-bridgespan/applicant-toolkit/preparing-for-your-consulting-interview" TargetMode="External"/><Relationship Id="rId26" Type="http://schemas.openxmlformats.org/officeDocument/2006/relationships/hyperlink" Target="https://www.scribd.com/document/585409475/ZS-Associates-Previous-Test-Placement-Papers" TargetMode="External"/><Relationship Id="rId25" Type="http://schemas.openxmlformats.org/officeDocument/2006/relationships/hyperlink" Target="https://www.scribd.com/document/585409475/ZS-Associates-Previous-Test-Placement-Papers" TargetMode="External"/><Relationship Id="rId28" Type="http://schemas.openxmlformats.org/officeDocument/2006/relationships/hyperlink" Target="https://media-publications.bcg.com/BCG-Online-Case-Example.pdf" TargetMode="External"/><Relationship Id="rId27" Type="http://schemas.openxmlformats.org/officeDocument/2006/relationships/hyperlink" Target="https://media-publications.bcg.com/BCG-Online-Case-Example.pdf"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eader" Target="header1.xml"/><Relationship Id="rId7" Type="http://schemas.openxmlformats.org/officeDocument/2006/relationships/hyperlink" Target="https://www.caseinterview.com" TargetMode="External"/><Relationship Id="rId8" Type="http://schemas.openxmlformats.org/officeDocument/2006/relationships/hyperlink" Target="https://www.caseinterview.com" TargetMode="External"/><Relationship Id="rId11" Type="http://schemas.openxmlformats.org/officeDocument/2006/relationships/hyperlink" Target="https://www.craftingcases.com" TargetMode="External"/><Relationship Id="rId10" Type="http://schemas.openxmlformats.org/officeDocument/2006/relationships/hyperlink" Target="https://www.bridgespan.org/about-us/careers-at-bridgespan/applicant-toolkit/preparing-for-your-consulting-interview" TargetMode="External"/><Relationship Id="rId13" Type="http://schemas.openxmlformats.org/officeDocument/2006/relationships/hyperlink" Target="https://careerinconsulting.com/the-star-framework-revisited/" TargetMode="External"/><Relationship Id="rId12" Type="http://schemas.openxmlformats.org/officeDocument/2006/relationships/hyperlink" Target="https://www.craftingcases.com" TargetMode="External"/><Relationship Id="rId15" Type="http://schemas.openxmlformats.org/officeDocument/2006/relationships/hyperlink" Target="https://www.consultingcase101.com" TargetMode="External"/><Relationship Id="rId14" Type="http://schemas.openxmlformats.org/officeDocument/2006/relationships/hyperlink" Target="https://careerinconsulting.com/the-star-framework-revisited/" TargetMode="External"/><Relationship Id="rId17" Type="http://schemas.openxmlformats.org/officeDocument/2006/relationships/hyperlink" Target="https://www.practiceaptitudetests.com/top-employer-profiles/mckinsey-and-co-assessments/" TargetMode="External"/><Relationship Id="rId16" Type="http://schemas.openxmlformats.org/officeDocument/2006/relationships/hyperlink" Target="https://www.consultingcase101.com" TargetMode="External"/><Relationship Id="rId19" Type="http://schemas.openxmlformats.org/officeDocument/2006/relationships/hyperlink" Target="https://www.graduatesfirst.com/mckinsey-company-assessment-tests" TargetMode="External"/><Relationship Id="rId18" Type="http://schemas.openxmlformats.org/officeDocument/2006/relationships/hyperlink" Target="https://www.practiceaptitudetests.com/top-employer-profiles/mckinsey-and-co-assessment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