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si5ptgfh70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0 FMCG</w:t>
      </w:r>
      <w:r w:rsidDel="00000000" w:rsidR="00000000" w:rsidRPr="00000000">
        <w:rPr>
          <w:rtl w:val="0"/>
        </w:rPr>
      </w:r>
    </w:p>
    <w:p w:rsidR="00000000" w:rsidDel="00000000" w:rsidP="00000000" w:rsidRDefault="00000000" w:rsidRPr="00000000" w14:paraId="00000002">
      <w:pP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3">
      <w:pPr>
        <w:jc w:val="cente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4">
      <w:pPr>
        <w:jc w:val="cente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5">
      <w:pP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6">
      <w:pPr>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PlaceCom</w:t>
      </w:r>
    </w:p>
    <w:p w:rsidR="00000000" w:rsidDel="00000000" w:rsidP="00000000" w:rsidRDefault="00000000" w:rsidRPr="00000000" w14:paraId="00000007">
      <w:pPr>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FMCG </w:t>
      </w:r>
      <w:r w:rsidDel="00000000" w:rsidR="00000000" w:rsidRPr="00000000">
        <w:rPr>
          <w:rFonts w:ascii="Georgia" w:cs="Georgia" w:eastAsia="Georgia" w:hAnsi="Georgia"/>
          <w:b w:val="1"/>
          <w:bCs w:val="1"/>
          <w:color w:val="990000"/>
          <w:sz w:val="62"/>
          <w:szCs w:val="62"/>
          <w:rtl w:val="0"/>
        </w:rPr>
        <w:t xml:space="preserve">Placement </w:t>
      </w:r>
      <w:r w:rsidDel="00000000" w:rsidR="00000000" w:rsidRPr="00000000">
        <w:rPr>
          <w:rFonts w:ascii="Georgia" w:cs="Georgia" w:eastAsia="Georgia" w:hAnsi="Georgia"/>
          <w:b w:val="1"/>
          <w:bCs w:val="1"/>
          <w:color w:val="990000"/>
          <w:sz w:val="62"/>
          <w:szCs w:val="62"/>
          <w:rtl w:val="0"/>
        </w:rPr>
        <w:t xml:space="preserve">Analyzer</w:t>
      </w:r>
      <w:r w:rsidDel="00000000" w:rsidR="00000000" w:rsidRPr="00000000">
        <w:rPr>
          <w:rtl w:val="0"/>
        </w:rPr>
      </w:r>
    </w:p>
    <w:p w:rsidR="00000000" w:rsidDel="00000000" w:rsidP="00000000" w:rsidRDefault="00000000" w:rsidRPr="00000000" w14:paraId="00000008">
      <w:pPr>
        <w:jc w:val="center"/>
        <w:rPr>
          <w:rFonts w:ascii="Georgia" w:cs="Georgia" w:eastAsia="Georgia" w:hAnsi="Georgia"/>
          <w:b w:val="1"/>
          <w:bCs w:val="1"/>
          <w:color w:val="cc0000"/>
          <w:sz w:val="62"/>
          <w:szCs w:val="6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952500</wp:posOffset>
            </wp:positionH>
            <wp:positionV relativeFrom="paragraph">
              <wp:posOffset>199941</wp:posOffset>
            </wp:positionV>
            <wp:extent cx="4040107" cy="2897451"/>
            <wp:effectExtent b="0" l="0" r="0" t="0"/>
            <wp:wrapNone/>
            <wp:docPr id="5" name="image10.png"/>
            <a:graphic>
              <a:graphicData uri="http://schemas.openxmlformats.org/drawingml/2006/picture">
                <pic:pic>
                  <pic:nvPicPr>
                    <pic:cNvPr id="0" name="image10.png"/>
                    <pic:cNvPicPr preferRelativeResize="0"/>
                  </pic:nvPicPr>
                  <pic:blipFill>
                    <a:blip r:embed="rId6"/>
                    <a:srcRect b="12031" l="0" r="0" t="16248"/>
                    <a:stretch>
                      <a:fillRect/>
                    </a:stretch>
                  </pic:blipFill>
                  <pic:spPr>
                    <a:xfrm>
                      <a:off x="0" y="0"/>
                      <a:ext cx="4040107" cy="2897451"/>
                    </a:xfrm>
                    <a:prstGeom prst="rect"/>
                    <a:ln/>
                  </pic:spPr>
                </pic:pic>
              </a:graphicData>
            </a:graphic>
          </wp:anchor>
        </w:drawing>
      </w:r>
    </w:p>
    <w:p w:rsidR="00000000" w:rsidDel="00000000" w:rsidP="00000000" w:rsidRDefault="00000000" w:rsidRPr="00000000" w14:paraId="00000009">
      <w:pPr>
        <w:rPr>
          <w:rFonts w:ascii="Georgia" w:cs="Georgia" w:eastAsia="Georgia" w:hAnsi="Georgia"/>
        </w:rPr>
      </w:pPr>
      <w:r w:rsidDel="00000000" w:rsidR="00000000" w:rsidRPr="00000000">
        <w:rPr>
          <w:rtl w:val="0"/>
        </w:rPr>
      </w:r>
    </w:p>
    <w:p w:rsidR="00000000" w:rsidDel="00000000" w:rsidP="00000000" w:rsidRDefault="00000000" w:rsidRPr="00000000" w14:paraId="0000000A">
      <w:pPr>
        <w:rPr>
          <w:rFonts w:ascii="Georgia" w:cs="Georgia" w:eastAsia="Georgia" w:hAnsi="Georgia"/>
        </w:rPr>
      </w:pPr>
      <w:r w:rsidDel="00000000" w:rsidR="00000000" w:rsidRPr="00000000">
        <w:rPr>
          <w:rtl w:val="0"/>
        </w:rPr>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240" w:lineRule="auto"/>
        <w:jc w:val="both"/>
        <w:rPr>
          <w:rFonts w:ascii="Georgia" w:cs="Georgia" w:eastAsia="Georgia" w:hAnsi="Georgia"/>
        </w:rPr>
      </w:pPr>
      <w:bookmarkStart w:colFirst="0" w:colLast="0" w:name="_xhwdvo6bukgs" w:id="1"/>
      <w:bookmarkEnd w:id="1"/>
      <w:r w:rsidDel="00000000" w:rsidR="00000000" w:rsidRPr="00000000">
        <w:rPr>
          <w:rFonts w:ascii="Georgia" w:cs="Georgia" w:eastAsia="Georgia" w:hAnsi="Georgia"/>
          <w:b w:val="1"/>
          <w:bCs w:val="1"/>
          <w:color w:val="073763"/>
          <w:sz w:val="36"/>
          <w:szCs w:val="36"/>
          <w:rtl w:val="0"/>
        </w:rPr>
        <w:t xml:space="preserve">Index</w:t>
      </w:r>
      <w:r w:rsidDel="00000000" w:rsidR="00000000" w:rsidRPr="00000000">
        <w:rPr>
          <w:rtl w:val="0"/>
        </w:rPr>
      </w:r>
    </w:p>
    <w:p w:rsidR="00000000" w:rsidDel="00000000" w:rsidP="00000000" w:rsidRDefault="00000000" w:rsidRPr="00000000" w14:paraId="0000002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spacing w:line="480" w:lineRule="auto"/>
        <w:rPr>
          <w:rFonts w:ascii="Georgia" w:cs="Georgia" w:eastAsia="Georgia" w:hAnsi="Georgia"/>
          <w:sz w:val="24"/>
          <w:szCs w:val="24"/>
        </w:rPr>
      </w:pPr>
      <w:r w:rsidDel="00000000" w:rsidR="00000000" w:rsidRPr="00000000">
        <w:rPr>
          <w:rtl w:val="0"/>
        </w:rPr>
      </w:r>
    </w:p>
    <w:sdt>
      <w:sdtPr>
        <w:id w:val="-400936083"/>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480" w:lineRule="auto"/>
            <w:rPr>
              <w:rFonts w:ascii="Georgia" w:cs="Georgia" w:eastAsia="Georgia" w:hAnsi="Georgia"/>
              <w:b w:val="1"/>
              <w:bCs w:val="1"/>
            </w:rPr>
          </w:pPr>
          <w:r w:rsidDel="00000000" w:rsidR="00000000" w:rsidRPr="00000000">
            <w:fldChar w:fldCharType="begin"/>
            <w:instrText xml:space="preserve"> TOC \h \u \z \t "Heading 1,1,Heading 2,2,Heading 3,3,Heading 4,4,Heading 5,5,Heading 6,6,"</w:instrText>
            <w:fldChar w:fldCharType="separate"/>
          </w:r>
          <w:hyperlink w:anchor="_xhwdvo6bukgs">
            <w:r w:rsidDel="00000000" w:rsidR="00000000" w:rsidRPr="00000000">
              <w:rPr>
                <w:rFonts w:ascii="Georgia" w:cs="Georgia" w:eastAsia="Georgia" w:hAnsi="Georgia"/>
                <w:b w:val="1"/>
                <w:bCs w:val="1"/>
                <w:sz w:val="24"/>
                <w:szCs w:val="24"/>
                <w:rtl w:val="0"/>
              </w:rPr>
              <w:t xml:space="preserve">Index</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480" w:lineRule="auto"/>
            <w:rPr>
              <w:rFonts w:ascii="Georgia" w:cs="Georgia" w:eastAsia="Georgia" w:hAnsi="Georgia"/>
              <w:b w:val="1"/>
              <w:bCs w:val="1"/>
            </w:rPr>
          </w:pPr>
          <w:hyperlink w:anchor="_6g3xnsccojg">
            <w:r w:rsidDel="00000000" w:rsidR="00000000" w:rsidRPr="00000000">
              <w:rPr>
                <w:rFonts w:ascii="Georgia" w:cs="Georgia" w:eastAsia="Georgia" w:hAnsi="Georgia"/>
                <w:b w:val="1"/>
                <w:bCs w:val="1"/>
                <w:sz w:val="24"/>
                <w:szCs w:val="24"/>
                <w:rtl w:val="0"/>
              </w:rPr>
              <w:t xml:space="preserve">Glossary</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480" w:lineRule="auto"/>
            <w:rPr>
              <w:rFonts w:ascii="Georgia" w:cs="Georgia" w:eastAsia="Georgia" w:hAnsi="Georgia"/>
              <w:b w:val="1"/>
              <w:bCs w:val="1"/>
            </w:rPr>
          </w:pPr>
          <w:hyperlink w:anchor="_qkk0gqxw2vzw">
            <w:r w:rsidDel="00000000" w:rsidR="00000000" w:rsidRPr="00000000">
              <w:rPr>
                <w:rFonts w:ascii="Georgia" w:cs="Georgia" w:eastAsia="Georgia" w:hAnsi="Georgia"/>
                <w:b w:val="1"/>
                <w:bCs w:val="1"/>
                <w:sz w:val="24"/>
                <w:szCs w:val="24"/>
                <w:rtl w:val="0"/>
              </w:rPr>
              <w:t xml:space="preserve">Methodology</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480" w:lineRule="auto"/>
            <w:rPr>
              <w:rFonts w:ascii="Georgia" w:cs="Georgia" w:eastAsia="Georgia" w:hAnsi="Georgia"/>
              <w:b w:val="1"/>
              <w:bCs w:val="1"/>
            </w:rPr>
          </w:pPr>
          <w:hyperlink w:anchor="_tq0ez1i1ir89">
            <w:r w:rsidDel="00000000" w:rsidR="00000000" w:rsidRPr="00000000">
              <w:rPr>
                <w:rFonts w:ascii="Georgia" w:cs="Georgia" w:eastAsia="Georgia" w:hAnsi="Georgia"/>
                <w:b w:val="1"/>
                <w:bCs w:val="1"/>
                <w:sz w:val="24"/>
                <w:szCs w:val="24"/>
                <w:rtl w:val="0"/>
              </w:rPr>
              <w:t xml:space="preserve">Academics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480" w:lineRule="auto"/>
            <w:rPr>
              <w:rFonts w:ascii="Georgia" w:cs="Georgia" w:eastAsia="Georgia" w:hAnsi="Georgia"/>
              <w:b w:val="1"/>
              <w:bCs w:val="1"/>
            </w:rPr>
          </w:pPr>
          <w:hyperlink w:anchor="_59jmzg4024au">
            <w:r w:rsidDel="00000000" w:rsidR="00000000" w:rsidRPr="00000000">
              <w:rPr>
                <w:rFonts w:ascii="Georgia" w:cs="Georgia" w:eastAsia="Georgia" w:hAnsi="Georgia"/>
                <w:b w:val="1"/>
                <w:bCs w:val="1"/>
                <w:sz w:val="24"/>
                <w:szCs w:val="24"/>
                <w:rtl w:val="0"/>
              </w:rPr>
              <w:t xml:space="preserve">Internships, Work Experience, and Projects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480" w:lineRule="auto"/>
            <w:rPr>
              <w:rFonts w:ascii="Georgia" w:cs="Georgia" w:eastAsia="Georgia" w:hAnsi="Georgia"/>
              <w:b w:val="1"/>
              <w:bCs w:val="1"/>
            </w:rPr>
          </w:pPr>
          <w:hyperlink w:anchor="_ea6m9312vqvs">
            <w:r w:rsidDel="00000000" w:rsidR="00000000" w:rsidRPr="00000000">
              <w:rPr>
                <w:rFonts w:ascii="Georgia" w:cs="Georgia" w:eastAsia="Georgia" w:hAnsi="Georgia"/>
                <w:b w:val="1"/>
                <w:bCs w:val="1"/>
                <w:sz w:val="24"/>
                <w:szCs w:val="24"/>
                <w:rtl w:val="0"/>
              </w:rPr>
              <w:t xml:space="preserve">Club Positions, Positions of Responsibility, and Extracurriculars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A">
      <w:pP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B">
      <w:pP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240" w:lineRule="auto"/>
        <w:jc w:val="both"/>
        <w:rPr>
          <w:rFonts w:ascii="Georgia" w:cs="Georgia" w:eastAsia="Georgia" w:hAnsi="Georgia"/>
        </w:rPr>
      </w:pPr>
      <w:bookmarkStart w:colFirst="0" w:colLast="0" w:name="_6g3xnsccojg" w:id="2"/>
      <w:bookmarkEnd w:id="2"/>
      <w:r w:rsidDel="00000000" w:rsidR="00000000" w:rsidRPr="00000000">
        <w:rPr>
          <w:rFonts w:ascii="Georgia" w:cs="Georgia" w:eastAsia="Georgia" w:hAnsi="Georgia"/>
          <w:b w:val="1"/>
          <w:bCs w:val="1"/>
          <w:color w:val="073763"/>
          <w:sz w:val="36"/>
          <w:szCs w:val="36"/>
          <w:rtl w:val="0"/>
        </w:rPr>
        <w:t xml:space="preserve">Glossary</w:t>
      </w:r>
      <w:r w:rsidDel="00000000" w:rsidR="00000000" w:rsidRPr="00000000">
        <w:rPr>
          <w:rtl w:val="0"/>
        </w:rPr>
      </w:r>
    </w:p>
    <w:p w:rsidR="00000000" w:rsidDel="00000000" w:rsidP="00000000" w:rsidRDefault="00000000" w:rsidRPr="00000000" w14:paraId="00000041">
      <w:pPr>
        <w:spacing w:after="200" w:before="200" w:lineRule="auto"/>
        <w:jc w:val="both"/>
        <w:rPr>
          <w:rFonts w:ascii="Georgia" w:cs="Georgia" w:eastAsia="Georgia" w:hAnsi="Georgia"/>
          <w:sz w:val="24"/>
          <w:szCs w:val="24"/>
        </w:rPr>
      </w:pPr>
      <w:r w:rsidDel="00000000" w:rsidR="00000000" w:rsidRPr="00000000">
        <w:rPr>
          <w:rtl w:val="0"/>
        </w:rPr>
      </w:r>
    </w:p>
    <w:tbl>
      <w:tblPr>
        <w:tblStyle w:val="Table1"/>
        <w:tblW w:w="1021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7710"/>
        <w:tblGridChange w:id="0">
          <w:tblGrid>
            <w:gridCol w:w="2505"/>
            <w:gridCol w:w="7710"/>
          </w:tblGrid>
        </w:tblGridChange>
      </w:tblGrid>
      <w:tr>
        <w:trPr>
          <w:cantSplit w:val="0"/>
          <w:tblHeader w:val="0"/>
        </w:trPr>
        <w:tc>
          <w:tcPr>
            <w:shd w:fill="ffe599" w:val="clear"/>
          </w:tcPr>
          <w:p w:rsidR="00000000" w:rsidDel="00000000" w:rsidP="00000000" w:rsidRDefault="00000000" w:rsidRPr="00000000" w14:paraId="00000042">
            <w:pPr>
              <w:spacing w:after="200" w:before="20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Term</w:t>
            </w:r>
          </w:p>
        </w:tc>
        <w:tc>
          <w:tcPr>
            <w:shd w:fill="ffe599" w:val="clear"/>
          </w:tcPr>
          <w:p w:rsidR="00000000" w:rsidDel="00000000" w:rsidP="00000000" w:rsidRDefault="00000000" w:rsidRPr="00000000" w14:paraId="00000043">
            <w:pPr>
              <w:spacing w:after="200" w:before="20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Meaning</w:t>
            </w:r>
          </w:p>
        </w:tc>
      </w:tr>
      <w:tr>
        <w:trPr>
          <w:cantSplit w:val="0"/>
          <w:tblHeader w:val="0"/>
        </w:trPr>
        <w:tc>
          <w:tcPr>
            <w:vAlign w:val="center"/>
          </w:tcPr>
          <w:p w:rsidR="00000000" w:rsidDel="00000000" w:rsidP="00000000" w:rsidRDefault="00000000" w:rsidRPr="00000000" w14:paraId="00000044">
            <w:pPr>
              <w:spacing w:after="200" w:before="200" w:lineRule="auto"/>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Projects</w:t>
            </w:r>
            <w:r w:rsidDel="00000000" w:rsidR="00000000" w:rsidRPr="00000000">
              <w:rPr>
                <w:rtl w:val="0"/>
              </w:rPr>
            </w:r>
          </w:p>
        </w:tc>
        <w:tc>
          <w:tcPr>
            <w:vAlign w:val="center"/>
          </w:tcPr>
          <w:p w:rsidR="00000000" w:rsidDel="00000000" w:rsidP="00000000" w:rsidRDefault="00000000" w:rsidRPr="00000000" w14:paraId="00000045">
            <w:pPr>
              <w:spacing w:after="200" w:before="20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project is a focused initiative where students apply their skills to deliver solutions, insights, or innovations within a defined scope and timeline. This includes research projects (including capstone theses), industry projects, etc.</w:t>
            </w:r>
          </w:p>
        </w:tc>
      </w:tr>
      <w:tr>
        <w:trPr>
          <w:cantSplit w:val="0"/>
          <w:tblHeader w:val="0"/>
        </w:trPr>
        <w:tc>
          <w:tcPr>
            <w:vAlign w:val="center"/>
          </w:tcPr>
          <w:p w:rsidR="00000000" w:rsidDel="00000000" w:rsidP="00000000" w:rsidRDefault="00000000" w:rsidRPr="00000000" w14:paraId="00000046">
            <w:pPr>
              <w:spacing w:after="200" w:before="200" w:lineRule="auto"/>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Internships</w:t>
            </w:r>
            <w:r w:rsidDel="00000000" w:rsidR="00000000" w:rsidRPr="00000000">
              <w:rPr>
                <w:rtl w:val="0"/>
              </w:rPr>
            </w:r>
          </w:p>
        </w:tc>
        <w:tc>
          <w:tcPr>
            <w:vAlign w:val="center"/>
          </w:tcPr>
          <w:p w:rsidR="00000000" w:rsidDel="00000000" w:rsidP="00000000" w:rsidRDefault="00000000" w:rsidRPr="00000000" w14:paraId="00000047">
            <w:pPr>
              <w:spacing w:after="200" w:before="20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Short-term work opportunities with organisations that provide practical exposure, skill development, and industry experience.</w:t>
            </w:r>
          </w:p>
        </w:tc>
      </w:tr>
      <w:tr>
        <w:trPr>
          <w:cantSplit w:val="0"/>
          <w:tblHeader w:val="0"/>
        </w:trPr>
        <w:tc>
          <w:tcPr>
            <w:vAlign w:val="center"/>
          </w:tcPr>
          <w:p w:rsidR="00000000" w:rsidDel="00000000" w:rsidP="00000000" w:rsidRDefault="00000000" w:rsidRPr="00000000" w14:paraId="00000048">
            <w:pPr>
              <w:spacing w:after="200" w:before="200" w:lineRule="auto"/>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Positions of Responsibility</w:t>
            </w:r>
            <w:r w:rsidDel="00000000" w:rsidR="00000000" w:rsidRPr="00000000">
              <w:rPr>
                <w:rtl w:val="0"/>
              </w:rPr>
            </w:r>
          </w:p>
        </w:tc>
        <w:tc>
          <w:tcPr>
            <w:vAlign w:val="center"/>
          </w:tcPr>
          <w:p w:rsidR="00000000" w:rsidDel="00000000" w:rsidP="00000000" w:rsidRDefault="00000000" w:rsidRPr="00000000" w14:paraId="00000049">
            <w:pPr>
              <w:spacing w:after="200" w:before="20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Roles where an individual is accountable for tasks, people, or outcomes, demonstrating leadership and organisational ability, and is not necessarily institutional or associated with particular student organisations. Examples - Head boy/girl, Student Council, Student Representatives, etc.</w:t>
            </w:r>
          </w:p>
        </w:tc>
      </w:tr>
      <w:tr>
        <w:trPr>
          <w:cantSplit w:val="0"/>
          <w:tblHeader w:val="0"/>
        </w:trPr>
        <w:tc>
          <w:tcPr>
            <w:vAlign w:val="center"/>
          </w:tcPr>
          <w:p w:rsidR="00000000" w:rsidDel="00000000" w:rsidP="00000000" w:rsidRDefault="00000000" w:rsidRPr="00000000" w14:paraId="0000004A">
            <w:pPr>
              <w:spacing w:after="200" w:before="200" w:lineRule="auto"/>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Club Positions</w:t>
            </w:r>
            <w:r w:rsidDel="00000000" w:rsidR="00000000" w:rsidRPr="00000000">
              <w:rPr>
                <w:rtl w:val="0"/>
              </w:rPr>
            </w:r>
          </w:p>
        </w:tc>
        <w:tc>
          <w:tcPr>
            <w:vAlign w:val="center"/>
          </w:tcPr>
          <w:p w:rsidR="00000000" w:rsidDel="00000000" w:rsidP="00000000" w:rsidRDefault="00000000" w:rsidRPr="00000000" w14:paraId="0000004B">
            <w:pPr>
              <w:spacing w:after="200" w:before="20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Roles held within student clubs or societies where members manage activities, events, or operations related to the club’s objectives. Examples include President, HoD, Member positions within clubs like Placement Committee, EconSoc, etc.</w:t>
            </w:r>
          </w:p>
        </w:tc>
      </w:tr>
      <w:tr>
        <w:trPr>
          <w:cantSplit w:val="0"/>
          <w:tblHeader w:val="0"/>
        </w:trPr>
        <w:tc>
          <w:tcPr>
            <w:vAlign w:val="center"/>
          </w:tcPr>
          <w:p w:rsidR="00000000" w:rsidDel="00000000" w:rsidP="00000000" w:rsidRDefault="00000000" w:rsidRPr="00000000" w14:paraId="0000004C">
            <w:pPr>
              <w:spacing w:after="200" w:before="200" w:lineRule="auto"/>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Extracurriculars</w:t>
            </w:r>
            <w:r w:rsidDel="00000000" w:rsidR="00000000" w:rsidRPr="00000000">
              <w:rPr>
                <w:rtl w:val="0"/>
              </w:rPr>
            </w:r>
          </w:p>
        </w:tc>
        <w:tc>
          <w:tcPr>
            <w:vAlign w:val="center"/>
          </w:tcPr>
          <w:p w:rsidR="00000000" w:rsidDel="00000000" w:rsidP="00000000" w:rsidRDefault="00000000" w:rsidRPr="00000000" w14:paraId="0000004D">
            <w:pPr>
              <w:spacing w:after="200" w:before="20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Activities pursued outside academics, such as sports, arts, or theatre, that showcase talent, dedication, and diverse skills.</w:t>
            </w:r>
          </w:p>
        </w:tc>
      </w:tr>
      <w:tr>
        <w:trPr>
          <w:cantSplit w:val="0"/>
          <w:tblHeader w:val="0"/>
        </w:trPr>
        <w:tc>
          <w:tcPr>
            <w:vAlign w:val="center"/>
          </w:tcPr>
          <w:p w:rsidR="00000000" w:rsidDel="00000000" w:rsidP="00000000" w:rsidRDefault="00000000" w:rsidRPr="00000000" w14:paraId="0000004E">
            <w:pPr>
              <w:spacing w:after="200" w:before="200" w:lineRule="auto"/>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Work Experience</w:t>
            </w:r>
            <w:r w:rsidDel="00000000" w:rsidR="00000000" w:rsidRPr="00000000">
              <w:rPr>
                <w:rtl w:val="0"/>
              </w:rPr>
            </w:r>
          </w:p>
        </w:tc>
        <w:tc>
          <w:tcPr>
            <w:vAlign w:val="center"/>
          </w:tcPr>
          <w:p w:rsidR="00000000" w:rsidDel="00000000" w:rsidP="00000000" w:rsidRDefault="00000000" w:rsidRPr="00000000" w14:paraId="0000004F">
            <w:pPr>
              <w:spacing w:after="200" w:before="20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Professional exposure gained through full-time or part-time employment, reflecting practical application of skills in a workplace setting. This is almost always not coterminous with pursuing education.</w:t>
            </w:r>
          </w:p>
        </w:tc>
      </w:tr>
    </w:tbl>
    <w:p w:rsidR="00000000" w:rsidDel="00000000" w:rsidP="00000000" w:rsidRDefault="00000000" w:rsidRPr="00000000" w14:paraId="00000050">
      <w:pPr>
        <w:spacing w:after="200" w:before="20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240" w:lineRule="auto"/>
        <w:jc w:val="both"/>
        <w:rPr>
          <w:rFonts w:ascii="Georgia" w:cs="Georgia" w:eastAsia="Georgia" w:hAnsi="Georgia"/>
          <w:sz w:val="24"/>
          <w:szCs w:val="24"/>
        </w:rPr>
      </w:pPr>
      <w:bookmarkStart w:colFirst="0" w:colLast="0" w:name="_qkk0gqxw2vzw" w:id="3"/>
      <w:bookmarkEnd w:id="3"/>
      <w:r w:rsidDel="00000000" w:rsidR="00000000" w:rsidRPr="00000000">
        <w:rPr>
          <w:rFonts w:ascii="Georgia" w:cs="Georgia" w:eastAsia="Georgia" w:hAnsi="Georgia"/>
          <w:b w:val="1"/>
          <w:bCs w:val="1"/>
          <w:color w:val="073763"/>
          <w:sz w:val="36"/>
          <w:szCs w:val="36"/>
          <w:rtl w:val="0"/>
        </w:rPr>
        <w:t xml:space="preserve">Methodology</w:t>
      </w:r>
      <w:r w:rsidDel="00000000" w:rsidR="00000000" w:rsidRPr="00000000">
        <w:rPr>
          <w:rtl w:val="0"/>
        </w:rPr>
      </w:r>
    </w:p>
    <w:p w:rsidR="00000000" w:rsidDel="00000000" w:rsidP="00000000" w:rsidRDefault="00000000" w:rsidRPr="00000000" w14:paraId="0000005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Sampling</w:t>
      </w:r>
      <w:r w:rsidDel="00000000" w:rsidR="00000000" w:rsidRPr="00000000">
        <w:rPr>
          <w:rFonts w:ascii="Georgia" w:cs="Georgia" w:eastAsia="Georgia" w:hAnsi="Georgia"/>
          <w:sz w:val="24"/>
          <w:szCs w:val="24"/>
          <w:rtl w:val="0"/>
        </w:rPr>
        <w:t xml:space="preserve">: Profile details of </w:t>
      </w:r>
      <w:r w:rsidDel="00000000" w:rsidR="00000000" w:rsidRPr="00000000">
        <w:rPr>
          <w:rFonts w:ascii="Georgia" w:cs="Georgia" w:eastAsia="Georgia" w:hAnsi="Georgia"/>
          <w:b w:val="1"/>
          <w:bCs w:val="1"/>
          <w:sz w:val="24"/>
          <w:szCs w:val="24"/>
          <w:rtl w:val="0"/>
        </w:rPr>
        <w:t xml:space="preserve">10 students</w:t>
      </w:r>
      <w:r w:rsidDel="00000000" w:rsidR="00000000" w:rsidRPr="00000000">
        <w:rPr>
          <w:rFonts w:ascii="Georgia" w:cs="Georgia" w:eastAsia="Georgia" w:hAnsi="Georgia"/>
          <w:sz w:val="24"/>
          <w:szCs w:val="24"/>
          <w:rtl w:val="0"/>
        </w:rPr>
        <w:t xml:space="preserve"> who were placed in Day 0 FMCG companies from the 2022-2023, 2023-2024, and 2024-2025 cycles were taken from Superset. The classification of companies into phases followed </w:t>
      </w:r>
      <w:hyperlink r:id="rId7">
        <w:r w:rsidDel="00000000" w:rsidR="00000000" w:rsidRPr="00000000">
          <w:rPr>
            <w:rFonts w:ascii="Georgia" w:cs="Georgia" w:eastAsia="Georgia" w:hAnsi="Georgia"/>
            <w:color w:val="0000ee"/>
            <w:sz w:val="24"/>
            <w:szCs w:val="24"/>
            <w:u w:val="single"/>
            <w:rtl w:val="0"/>
          </w:rPr>
          <w:t xml:space="preserve">Phase-Wise Companies.xlsx</w:t>
        </w:r>
      </w:hyperlink>
      <w:r w:rsidDel="00000000" w:rsidR="00000000" w:rsidRPr="00000000">
        <w:rPr>
          <w:rFonts w:ascii="Georgia" w:cs="Georgia" w:eastAsia="Georgia" w:hAnsi="Georgia"/>
          <w:sz w:val="24"/>
          <w:szCs w:val="24"/>
          <w:rtl w:val="0"/>
        </w:rPr>
        <w:t xml:space="preserve">. Based on the above data, the following companies and roles were identified:</w:t>
      </w:r>
    </w:p>
    <w:p w:rsidR="00000000" w:rsidDel="00000000" w:rsidP="00000000" w:rsidRDefault="00000000" w:rsidRPr="00000000" w14:paraId="00000054">
      <w:pPr>
        <w:rPr>
          <w:rFonts w:ascii="Georgia" w:cs="Georgia" w:eastAsia="Georgia" w:hAnsi="Georg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150"/>
        <w:tblGridChange w:id="0">
          <w:tblGrid>
            <w:gridCol w:w="3210"/>
            <w:gridCol w:w="6150"/>
          </w:tblGrid>
        </w:tblGridChange>
      </w:tblGrid>
      <w:tr>
        <w:trPr>
          <w:cantSplit w:val="0"/>
          <w:tblHeader w:val="0"/>
        </w:trPr>
        <w:tc>
          <w:tcPr>
            <w:shd w:fill="fff2cc" w:val="clear"/>
            <w:vAlign w:val="center"/>
          </w:tcPr>
          <w:p w:rsidR="00000000" w:rsidDel="00000000" w:rsidP="00000000" w:rsidRDefault="00000000" w:rsidRPr="00000000" w14:paraId="00000055">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Company</w:t>
            </w:r>
          </w:p>
        </w:tc>
        <w:tc>
          <w:tcPr>
            <w:shd w:fill="fff2cc" w:val="clear"/>
            <w:vAlign w:val="center"/>
          </w:tcPr>
          <w:p w:rsidR="00000000" w:rsidDel="00000000" w:rsidP="00000000" w:rsidRDefault="00000000" w:rsidRPr="00000000" w14:paraId="00000056">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Role</w:t>
            </w:r>
          </w:p>
        </w:tc>
      </w:tr>
      <w:tr>
        <w:trPr>
          <w:cantSplit w:val="0"/>
          <w:trHeight w:val="440" w:hRule="atLeast"/>
          <w:tblHeader w:val="0"/>
        </w:trPr>
        <w:tc>
          <w:tcPr>
            <w:vMerge w:val="restart"/>
            <w:vAlign w:val="center"/>
          </w:tcPr>
          <w:p w:rsidR="00000000" w:rsidDel="00000000" w:rsidP="00000000" w:rsidRDefault="00000000" w:rsidRPr="00000000" w14:paraId="00000057">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Hindustan Unilever Limited</w:t>
            </w:r>
          </w:p>
        </w:tc>
        <w:tc>
          <w:tcPr>
            <w:vAlign w:val="center"/>
          </w:tcPr>
          <w:p w:rsidR="00000000" w:rsidDel="00000000" w:rsidP="00000000" w:rsidRDefault="00000000" w:rsidRPr="00000000" w14:paraId="00000058">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Unilever Future Leaders Programme - Management Trainee (Sales &amp; Marketing)</w:t>
            </w:r>
          </w:p>
        </w:tc>
      </w:tr>
      <w:tr>
        <w:trPr>
          <w:cantSplit w:val="0"/>
          <w:trHeight w:val="440" w:hRule="atLeast"/>
          <w:tblHeader w:val="0"/>
        </w:trPr>
        <w:tc>
          <w:tcPr>
            <w:vMerge w:val="continue"/>
            <w:vAlign w:val="center"/>
          </w:tcPr>
          <w:p w:rsidR="00000000" w:rsidDel="00000000" w:rsidP="00000000" w:rsidRDefault="00000000" w:rsidRPr="00000000" w14:paraId="00000059">
            <w:pPr>
              <w:widowControl w:val="0"/>
              <w:spacing w:line="240" w:lineRule="auto"/>
              <w:rPr>
                <w:rFonts w:ascii="Georgia" w:cs="Georgia" w:eastAsia="Georgia" w:hAnsi="Georgia"/>
                <w:sz w:val="24"/>
                <w:szCs w:val="24"/>
              </w:rPr>
            </w:pPr>
            <w:r w:rsidDel="00000000" w:rsidR="00000000" w:rsidRPr="00000000">
              <w:rPr>
                <w:rtl w:val="0"/>
              </w:rPr>
            </w:r>
          </w:p>
        </w:tc>
        <w:tc>
          <w:tcPr>
            <w:vAlign w:val="center"/>
          </w:tcPr>
          <w:p w:rsidR="00000000" w:rsidDel="00000000" w:rsidP="00000000" w:rsidRDefault="00000000" w:rsidRPr="00000000" w14:paraId="0000005A">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Management Trainee</w:t>
            </w:r>
          </w:p>
        </w:tc>
      </w:tr>
      <w:tr>
        <w:trPr>
          <w:cantSplit w:val="0"/>
          <w:trHeight w:val="440" w:hRule="atLeast"/>
          <w:tblHeader w:val="0"/>
        </w:trPr>
        <w:tc>
          <w:tcPr>
            <w:vMerge w:val="continue"/>
            <w:vAlign w:val="center"/>
          </w:tcPr>
          <w:p w:rsidR="00000000" w:rsidDel="00000000" w:rsidP="00000000" w:rsidRDefault="00000000" w:rsidRPr="00000000" w14:paraId="0000005B">
            <w:pPr>
              <w:widowControl w:val="0"/>
              <w:spacing w:line="240" w:lineRule="auto"/>
              <w:rPr>
                <w:rFonts w:ascii="Georgia" w:cs="Georgia" w:eastAsia="Georgia" w:hAnsi="Georgia"/>
                <w:sz w:val="24"/>
                <w:szCs w:val="24"/>
              </w:rPr>
            </w:pPr>
            <w:r w:rsidDel="00000000" w:rsidR="00000000" w:rsidRPr="00000000">
              <w:rPr>
                <w:rtl w:val="0"/>
              </w:rPr>
            </w:r>
          </w:p>
        </w:tc>
        <w:tc>
          <w:tcPr>
            <w:vAlign w:val="center"/>
          </w:tcPr>
          <w:p w:rsidR="00000000" w:rsidDel="00000000" w:rsidP="00000000" w:rsidRDefault="00000000" w:rsidRPr="00000000" w14:paraId="0000005C">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UnileverFutureLeadersProgramme - Management Trainee</w:t>
            </w:r>
          </w:p>
        </w:tc>
      </w:tr>
      <w:tr>
        <w:trPr>
          <w:cantSplit w:val="0"/>
          <w:trHeight w:val="440" w:hRule="atLeast"/>
          <w:tblHeader w:val="0"/>
        </w:trPr>
        <w:tc>
          <w:tcPr>
            <w:vMerge w:val="continue"/>
            <w:vAlign w:val="center"/>
          </w:tcPr>
          <w:p w:rsidR="00000000" w:rsidDel="00000000" w:rsidP="00000000" w:rsidRDefault="00000000" w:rsidRPr="00000000" w14:paraId="0000005D">
            <w:pPr>
              <w:widowControl w:val="0"/>
              <w:spacing w:line="240" w:lineRule="auto"/>
              <w:rPr>
                <w:rFonts w:ascii="Georgia" w:cs="Georgia" w:eastAsia="Georgia" w:hAnsi="Georgia"/>
                <w:sz w:val="24"/>
                <w:szCs w:val="24"/>
              </w:rPr>
            </w:pPr>
            <w:r w:rsidDel="00000000" w:rsidR="00000000" w:rsidRPr="00000000">
              <w:rPr>
                <w:rtl w:val="0"/>
              </w:rPr>
            </w:r>
          </w:p>
        </w:tc>
        <w:tc>
          <w:tcPr>
            <w:vAlign w:val="center"/>
          </w:tcPr>
          <w:p w:rsidR="00000000" w:rsidDel="00000000" w:rsidP="00000000" w:rsidRDefault="00000000" w:rsidRPr="00000000" w14:paraId="0000005E">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Unilever Future Leaders’ Program (UFLP) - Management Trainee (Sales &amp; Marketing &amp; HR)</w:t>
            </w:r>
          </w:p>
        </w:tc>
      </w:tr>
      <w:tr>
        <w:trPr>
          <w:cantSplit w:val="0"/>
          <w:tblHeader w:val="0"/>
        </w:trPr>
        <w:tc>
          <w:tcPr>
            <w:vAlign w:val="center"/>
          </w:tcPr>
          <w:p w:rsidR="00000000" w:rsidDel="00000000" w:rsidP="00000000" w:rsidRDefault="00000000" w:rsidRPr="00000000" w14:paraId="0000005F">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Marico Limited</w:t>
            </w:r>
          </w:p>
        </w:tc>
        <w:tc>
          <w:tcPr>
            <w:vAlign w:val="center"/>
          </w:tcPr>
          <w:p w:rsidR="00000000" w:rsidDel="00000000" w:rsidP="00000000" w:rsidRDefault="00000000" w:rsidRPr="00000000" w14:paraId="00000060">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Graduate Trainee under Marico’s Graduate Leadership Program</w:t>
            </w:r>
          </w:p>
        </w:tc>
      </w:tr>
      <w:tr>
        <w:trPr>
          <w:cantSplit w:val="0"/>
          <w:tblHeader w:val="0"/>
        </w:trPr>
        <w:tc>
          <w:tcPr>
            <w:vAlign w:val="center"/>
          </w:tcPr>
          <w:p w:rsidR="00000000" w:rsidDel="00000000" w:rsidP="00000000" w:rsidRDefault="00000000" w:rsidRPr="00000000" w14:paraId="00000061">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Pidilite Industries Limited</w:t>
            </w:r>
          </w:p>
        </w:tc>
        <w:tc>
          <w:tcPr>
            <w:vAlign w:val="center"/>
          </w:tcPr>
          <w:p w:rsidR="00000000" w:rsidDel="00000000" w:rsidP="00000000" w:rsidRDefault="00000000" w:rsidRPr="00000000" w14:paraId="00000062">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Management Trainee (Assistant Sales Manager After 1 Year In-Training)</w:t>
            </w:r>
          </w:p>
        </w:tc>
      </w:tr>
      <w:tr>
        <w:trPr>
          <w:cantSplit w:val="0"/>
          <w:tblHeader w:val="0"/>
        </w:trPr>
        <w:tc>
          <w:tcPr>
            <w:vAlign w:val="center"/>
          </w:tcPr>
          <w:p w:rsidR="00000000" w:rsidDel="00000000" w:rsidP="00000000" w:rsidRDefault="00000000" w:rsidRPr="00000000" w14:paraId="00000063">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ITC Limited</w:t>
            </w:r>
          </w:p>
        </w:tc>
        <w:tc>
          <w:tcPr>
            <w:vAlign w:val="center"/>
          </w:tcPr>
          <w:p w:rsidR="00000000" w:rsidDel="00000000" w:rsidP="00000000" w:rsidRDefault="00000000" w:rsidRPr="00000000" w14:paraId="00000064">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w:t>
            </w:r>
          </w:p>
        </w:tc>
      </w:tr>
    </w:tbl>
    <w:p w:rsidR="00000000" w:rsidDel="00000000" w:rsidP="00000000" w:rsidRDefault="00000000" w:rsidRPr="00000000" w14:paraId="0000006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6">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Method</w:t>
      </w:r>
      <w:r w:rsidDel="00000000" w:rsidR="00000000" w:rsidRPr="00000000">
        <w:rPr>
          <w:rFonts w:ascii="Georgia" w:cs="Georgia" w:eastAsia="Georgia" w:hAnsi="Georgia"/>
          <w:sz w:val="24"/>
          <w:szCs w:val="24"/>
          <w:rtl w:val="0"/>
        </w:rPr>
        <w:t xml:space="preserve">: Data about academics, internships, extracurriculars, and co-curriculars was taken from placed students resumes, extracted from Superset. The collected data was then analysed, visualised, and described to highlight the important aspects of student profiles, along the key variables mentioned above.</w:t>
      </w:r>
    </w:p>
    <w:p w:rsidR="00000000" w:rsidDel="00000000" w:rsidP="00000000" w:rsidRDefault="00000000" w:rsidRPr="00000000" w14:paraId="0000006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8">
      <w:pPr>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Limitations</w:t>
      </w:r>
      <w:r w:rsidDel="00000000" w:rsidR="00000000" w:rsidRPr="00000000">
        <w:rPr>
          <w:rFonts w:ascii="Georgia" w:cs="Georgia" w:eastAsia="Georgia" w:hAnsi="Georgia"/>
          <w:sz w:val="24"/>
          <w:szCs w:val="24"/>
          <w:rtl w:val="0"/>
        </w:rPr>
        <w:t xml:space="preserve">: The study suffers from a limited sample size, and therefore, the </w:t>
      </w:r>
      <w:r w:rsidDel="00000000" w:rsidR="00000000" w:rsidRPr="00000000">
        <w:rPr>
          <w:rFonts w:ascii="Georgia" w:cs="Georgia" w:eastAsia="Georgia" w:hAnsi="Georgia"/>
          <w:sz w:val="24"/>
          <w:szCs w:val="24"/>
          <w:rtl w:val="0"/>
        </w:rPr>
        <w:t xml:space="preserve">conclusions drawn may not be generalisable or representative of your placement experience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Please don’t get demotivated and these are not requirements but typically objective analysis of resumes we have</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6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240" w:lineRule="auto"/>
        <w:jc w:val="both"/>
        <w:rPr>
          <w:rFonts w:ascii="Georgia" w:cs="Georgia" w:eastAsia="Georgia" w:hAnsi="Georgia"/>
          <w:b w:val="1"/>
          <w:bCs w:val="1"/>
          <w:sz w:val="24"/>
          <w:szCs w:val="24"/>
        </w:rPr>
      </w:pPr>
      <w:bookmarkStart w:colFirst="0" w:colLast="0" w:name="_tq0ez1i1ir89" w:id="4"/>
      <w:bookmarkEnd w:id="4"/>
      <w:r w:rsidDel="00000000" w:rsidR="00000000" w:rsidRPr="00000000">
        <w:rPr>
          <w:rFonts w:ascii="Georgia" w:cs="Georgia" w:eastAsia="Georgia" w:hAnsi="Georgia"/>
          <w:b w:val="1"/>
          <w:bCs w:val="1"/>
          <w:color w:val="073763"/>
          <w:sz w:val="36"/>
          <w:szCs w:val="36"/>
          <w:rtl w:val="0"/>
        </w:rPr>
        <w:t xml:space="preserve">Academics</w:t>
      </w:r>
      <w:r w:rsidDel="00000000" w:rsidR="00000000" w:rsidRPr="00000000">
        <w:rPr>
          <w:rtl w:val="0"/>
        </w:rPr>
      </w:r>
    </w:p>
    <w:tbl>
      <w:tblPr>
        <w:tblStyle w:val="Table3"/>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7350"/>
        <w:tblGridChange w:id="0">
          <w:tblGrid>
            <w:gridCol w:w="2025"/>
            <w:gridCol w:w="7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6">
            <w:pPr>
              <w:pStyle w:val="Heading4"/>
              <w:jc w:val="center"/>
              <w:rPr>
                <w:rFonts w:ascii="Georgia" w:cs="Georgia" w:eastAsia="Georgia" w:hAnsi="Georgia"/>
                <w:b w:val="1"/>
                <w:bCs w:val="1"/>
              </w:rPr>
            </w:pPr>
            <w:bookmarkStart w:colFirst="0" w:colLast="0" w:name="_h16gb9tqrq28" w:id="5"/>
            <w:bookmarkEnd w:id="5"/>
            <w:r w:rsidDel="00000000" w:rsidR="00000000" w:rsidRPr="00000000">
              <w:rPr>
                <w:rFonts w:ascii="Georgia" w:cs="Georgia" w:eastAsia="Georgia" w:hAnsi="Georgia"/>
                <w:b w:val="1"/>
                <w:bCs w:val="1"/>
                <w:color w:val="990000"/>
                <w:sz w:val="28"/>
                <w:szCs w:val="28"/>
                <w:rtl w:val="0"/>
              </w:rPr>
              <w:t xml:space="preserve">Tenth Percentage</w:t>
            </w:r>
            <w:r w:rsidDel="00000000" w:rsidR="00000000" w:rsidRPr="00000000">
              <w:rPr>
                <w:rtl w:val="0"/>
              </w:rPr>
            </w:r>
          </w:p>
          <w:p w:rsidR="00000000" w:rsidDel="00000000" w:rsidP="00000000" w:rsidRDefault="00000000" w:rsidRPr="00000000" w14:paraId="00000077">
            <w:pPr>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78">
            <w:pPr>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Highest</w:t>
            </w:r>
            <w:r w:rsidDel="00000000" w:rsidR="00000000" w:rsidRPr="00000000">
              <w:rPr>
                <w:rFonts w:ascii="Georgia" w:cs="Georgia" w:eastAsia="Georgia" w:hAnsi="Georgia"/>
                <w:sz w:val="24"/>
                <w:szCs w:val="24"/>
                <w:rtl w:val="0"/>
              </w:rPr>
              <w:t xml:space="preserve">: 99.25%</w:t>
            </w:r>
          </w:p>
          <w:p w:rsidR="00000000" w:rsidDel="00000000" w:rsidP="00000000" w:rsidRDefault="00000000" w:rsidRPr="00000000" w14:paraId="00000079">
            <w:pPr>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Lowest</w:t>
            </w:r>
            <w:r w:rsidDel="00000000" w:rsidR="00000000" w:rsidRPr="00000000">
              <w:rPr>
                <w:rFonts w:ascii="Georgia" w:cs="Georgia" w:eastAsia="Georgia" w:hAnsi="Georgia"/>
                <w:sz w:val="24"/>
                <w:szCs w:val="24"/>
                <w:rtl w:val="0"/>
              </w:rPr>
              <w:t xml:space="preserve">: 75.6%</w:t>
            </w:r>
          </w:p>
          <w:p w:rsidR="00000000" w:rsidDel="00000000" w:rsidP="00000000" w:rsidRDefault="00000000" w:rsidRPr="00000000" w14:paraId="0000007A">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Median</w:t>
            </w:r>
            <w:r w:rsidDel="00000000" w:rsidR="00000000" w:rsidRPr="00000000">
              <w:rPr>
                <w:rFonts w:ascii="Georgia" w:cs="Georgia" w:eastAsia="Georgia" w:hAnsi="Georgia"/>
                <w:sz w:val="24"/>
                <w:szCs w:val="24"/>
                <w:rtl w:val="0"/>
              </w:rPr>
              <w:t xml:space="preserve">: 92.97%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B">
            <w:pPr>
              <w:spacing w:after="240" w:befor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Pr>
              <w:drawing>
                <wp:inline distB="114300" distT="114300" distL="114300" distR="114300">
                  <wp:extent cx="4486275" cy="2648286"/>
                  <wp:effectExtent b="12700" l="12700" r="12700" t="1270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86275" cy="2648286"/>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C">
            <w:pPr>
              <w:pStyle w:val="Heading4"/>
              <w:jc w:val="center"/>
              <w:rPr>
                <w:rFonts w:ascii="Georgia" w:cs="Georgia" w:eastAsia="Georgia" w:hAnsi="Georgia"/>
                <w:b w:val="1"/>
                <w:bCs w:val="1"/>
              </w:rPr>
            </w:pPr>
            <w:bookmarkStart w:colFirst="0" w:colLast="0" w:name="_uonp1tssgszg" w:id="6"/>
            <w:bookmarkEnd w:id="6"/>
            <w:r w:rsidDel="00000000" w:rsidR="00000000" w:rsidRPr="00000000">
              <w:rPr>
                <w:rFonts w:ascii="Georgia" w:cs="Georgia" w:eastAsia="Georgia" w:hAnsi="Georgia"/>
                <w:b w:val="1"/>
                <w:bCs w:val="1"/>
                <w:color w:val="990000"/>
                <w:sz w:val="28"/>
                <w:szCs w:val="28"/>
                <w:rtl w:val="0"/>
              </w:rPr>
              <w:t xml:space="preserve">Twelfth Percentage</w:t>
            </w:r>
            <w:r w:rsidDel="00000000" w:rsidR="00000000" w:rsidRPr="00000000">
              <w:rPr>
                <w:rtl w:val="0"/>
              </w:rPr>
            </w:r>
          </w:p>
          <w:p w:rsidR="00000000" w:rsidDel="00000000" w:rsidP="00000000" w:rsidRDefault="00000000" w:rsidRPr="00000000" w14:paraId="0000007D">
            <w:pPr>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7E">
            <w:pPr>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Highest</w:t>
            </w:r>
            <w:r w:rsidDel="00000000" w:rsidR="00000000" w:rsidRPr="00000000">
              <w:rPr>
                <w:rFonts w:ascii="Georgia" w:cs="Georgia" w:eastAsia="Georgia" w:hAnsi="Georgia"/>
                <w:sz w:val="24"/>
                <w:szCs w:val="24"/>
                <w:rtl w:val="0"/>
              </w:rPr>
              <w:t xml:space="preserve">: 98.4%</w:t>
            </w:r>
          </w:p>
          <w:p w:rsidR="00000000" w:rsidDel="00000000" w:rsidP="00000000" w:rsidRDefault="00000000" w:rsidRPr="00000000" w14:paraId="0000007F">
            <w:pPr>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Lowest</w:t>
            </w:r>
            <w:r w:rsidDel="00000000" w:rsidR="00000000" w:rsidRPr="00000000">
              <w:rPr>
                <w:rFonts w:ascii="Georgia" w:cs="Georgia" w:eastAsia="Georgia" w:hAnsi="Georgia"/>
                <w:sz w:val="24"/>
                <w:szCs w:val="24"/>
                <w:rtl w:val="0"/>
              </w:rPr>
              <w:t xml:space="preserve">: 86.2%</w:t>
            </w:r>
          </w:p>
          <w:p w:rsidR="00000000" w:rsidDel="00000000" w:rsidP="00000000" w:rsidRDefault="00000000" w:rsidRPr="00000000" w14:paraId="00000080">
            <w:pPr>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Median</w:t>
            </w:r>
            <w:r w:rsidDel="00000000" w:rsidR="00000000" w:rsidRPr="00000000">
              <w:rPr>
                <w:rFonts w:ascii="Georgia" w:cs="Georgia" w:eastAsia="Georgia" w:hAnsi="Georgia"/>
                <w:sz w:val="24"/>
                <w:szCs w:val="24"/>
                <w:rtl w:val="0"/>
              </w:rPr>
              <w:t xml:space="preserve">: 93.26%</w:t>
            </w:r>
          </w:p>
          <w:p w:rsidR="00000000" w:rsidDel="00000000" w:rsidP="00000000" w:rsidRDefault="00000000" w:rsidRPr="00000000" w14:paraId="00000081">
            <w:pPr>
              <w:keepNext w:val="1"/>
              <w:keepLines w:val="1"/>
              <w:spacing w:line="240" w:lineRule="auto"/>
              <w:jc w:val="center"/>
              <w:rPr>
                <w:rFonts w:ascii="Georgia" w:cs="Georgia" w:eastAsia="Georgia" w:hAnsi="Georgia"/>
                <w:b w:val="1"/>
                <w:bCs w:val="1"/>
                <w:sz w:val="24"/>
                <w:szCs w:val="24"/>
              </w:rPr>
            </w:pPr>
            <w:bookmarkStart w:colFirst="0" w:colLast="0" w:name="_h16gb9tqrq28" w:id="5"/>
            <w:bookmarkEnd w:id="5"/>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2">
            <w:pPr>
              <w:spacing w:after="240" w:befor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Pr>
              <w:drawing>
                <wp:inline distB="114300" distT="114300" distL="114300" distR="114300">
                  <wp:extent cx="4486275" cy="2654132"/>
                  <wp:effectExtent b="12700" l="12700" r="12700" t="1270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486275" cy="2654132"/>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3">
            <w:pPr>
              <w:pStyle w:val="Heading4"/>
              <w:jc w:val="center"/>
              <w:rPr>
                <w:rFonts w:ascii="Georgia" w:cs="Georgia" w:eastAsia="Georgia" w:hAnsi="Georgia"/>
                <w:b w:val="1"/>
                <w:bCs w:val="1"/>
                <w:color w:val="990000"/>
                <w:sz w:val="28"/>
                <w:szCs w:val="28"/>
              </w:rPr>
            </w:pPr>
            <w:bookmarkStart w:colFirst="0" w:colLast="0" w:name="_uonp1tssgszg" w:id="6"/>
            <w:bookmarkEnd w:id="6"/>
            <w:r w:rsidDel="00000000" w:rsidR="00000000" w:rsidRPr="00000000">
              <w:rPr>
                <w:rFonts w:ascii="Georgia" w:cs="Georgia" w:eastAsia="Georgia" w:hAnsi="Georgia"/>
                <w:b w:val="1"/>
                <w:bCs w:val="1"/>
                <w:color w:val="990000"/>
                <w:sz w:val="28"/>
                <w:szCs w:val="28"/>
                <w:rtl w:val="0"/>
              </w:rPr>
              <w:t xml:space="preserve">UG GPA</w:t>
            </w:r>
          </w:p>
          <w:p w:rsidR="00000000" w:rsidDel="00000000" w:rsidP="00000000" w:rsidRDefault="00000000" w:rsidRPr="00000000" w14:paraId="00000084">
            <w:pPr>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85">
            <w:pPr>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Highest</w:t>
            </w:r>
            <w:r w:rsidDel="00000000" w:rsidR="00000000" w:rsidRPr="00000000">
              <w:rPr>
                <w:rFonts w:ascii="Georgia" w:cs="Georgia" w:eastAsia="Georgia" w:hAnsi="Georgia"/>
                <w:sz w:val="24"/>
                <w:szCs w:val="24"/>
                <w:rtl w:val="0"/>
              </w:rPr>
              <w:t xml:space="preserve">: 3.93</w:t>
            </w:r>
          </w:p>
          <w:p w:rsidR="00000000" w:rsidDel="00000000" w:rsidP="00000000" w:rsidRDefault="00000000" w:rsidRPr="00000000" w14:paraId="00000086">
            <w:pPr>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Lowest</w:t>
            </w:r>
            <w:r w:rsidDel="00000000" w:rsidR="00000000" w:rsidRPr="00000000">
              <w:rPr>
                <w:rFonts w:ascii="Georgia" w:cs="Georgia" w:eastAsia="Georgia" w:hAnsi="Georgia"/>
                <w:sz w:val="24"/>
                <w:szCs w:val="24"/>
                <w:rtl w:val="0"/>
              </w:rPr>
              <w:t xml:space="preserve">: 3.13</w:t>
            </w:r>
          </w:p>
          <w:p w:rsidR="00000000" w:rsidDel="00000000" w:rsidP="00000000" w:rsidRDefault="00000000" w:rsidRPr="00000000" w14:paraId="00000087">
            <w:pPr>
              <w:jc w:val="center"/>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Median</w:t>
            </w:r>
            <w:r w:rsidDel="00000000" w:rsidR="00000000" w:rsidRPr="00000000">
              <w:rPr>
                <w:rFonts w:ascii="Georgia" w:cs="Georgia" w:eastAsia="Georgia" w:hAnsi="Georgia"/>
                <w:sz w:val="24"/>
                <w:szCs w:val="24"/>
                <w:rtl w:val="0"/>
              </w:rPr>
              <w:t xml:space="preserve">: 3.64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8">
            <w:pPr>
              <w:spacing w:after="240" w:before="240" w:lineRule="auto"/>
              <w:jc w:val="center"/>
              <w:rPr>
                <w:rFonts w:ascii="Georgia" w:cs="Georgia" w:eastAsia="Georgia" w:hAnsi="Georgia"/>
                <w:b w:val="1"/>
                <w:bCs w:val="1"/>
                <w:sz w:val="28"/>
                <w:szCs w:val="28"/>
              </w:rPr>
            </w:pPr>
            <w:r w:rsidDel="00000000" w:rsidR="00000000" w:rsidRPr="00000000">
              <w:rPr>
                <w:rFonts w:ascii="Georgia" w:cs="Georgia" w:eastAsia="Georgia" w:hAnsi="Georgia"/>
                <w:i w:val="1"/>
                <w:iCs w:val="1"/>
                <w:sz w:val="28"/>
                <w:szCs w:val="28"/>
              </w:rPr>
              <w:drawing>
                <wp:inline distB="114300" distT="114300" distL="114300" distR="114300">
                  <wp:extent cx="4552950" cy="2690823"/>
                  <wp:effectExtent b="12700" l="12700" r="12700" t="1270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52950" cy="2690823"/>
                          </a:xfrm>
                          <a:prstGeom prst="rect"/>
                          <a:ln w="12700">
                            <a:solidFill>
                              <a:srgbClr val="000000"/>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089">
      <w:pPr>
        <w:pStyle w:val="Heading4"/>
        <w:rPr>
          <w:rFonts w:ascii="Georgia" w:cs="Georgia" w:eastAsia="Georgia" w:hAnsi="Georgia"/>
        </w:rPr>
      </w:pPr>
      <w:bookmarkStart w:colFirst="0" w:colLast="0" w:name="_l5uufogzf0pp" w:id="7"/>
      <w:bookmarkEnd w:id="7"/>
      <w:r w:rsidDel="00000000" w:rsidR="00000000" w:rsidRPr="00000000">
        <w:rPr>
          <w:rFonts w:ascii="Georgia" w:cs="Georgia" w:eastAsia="Georgia" w:hAnsi="Georgia"/>
          <w:b w:val="1"/>
          <w:bCs w:val="1"/>
          <w:color w:val="990000"/>
          <w:sz w:val="28"/>
          <w:szCs w:val="28"/>
          <w:rtl w:val="0"/>
        </w:rPr>
        <w:t xml:space="preserve">Academic Major Distribution</w:t>
      </w:r>
      <w:r w:rsidDel="00000000" w:rsidR="00000000" w:rsidRPr="00000000">
        <w:rPr>
          <w:rtl w:val="0"/>
        </w:rPr>
      </w:r>
    </w:p>
    <w:p w:rsidR="00000000" w:rsidDel="00000000" w:rsidP="00000000" w:rsidRDefault="00000000" w:rsidRPr="00000000" w14:paraId="0000008A">
      <w:pPr>
        <w:jc w:val="center"/>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5297001" cy="3332335"/>
            <wp:effectExtent b="12700" l="12700" r="12700" t="1270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297001" cy="33323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C">
      <w:pPr>
        <w:pStyle w:val="Heading4"/>
        <w:rPr>
          <w:rFonts w:ascii="Georgia" w:cs="Georgia" w:eastAsia="Georgia" w:hAnsi="Georgia"/>
          <w:b w:val="1"/>
          <w:bCs w:val="1"/>
          <w:color w:val="990000"/>
          <w:sz w:val="28"/>
          <w:szCs w:val="28"/>
        </w:rPr>
      </w:pPr>
      <w:bookmarkStart w:colFirst="0" w:colLast="0" w:name="_yycuwus1630f" w:id="8"/>
      <w:bookmarkEnd w:id="8"/>
      <w:r w:rsidDel="00000000" w:rsidR="00000000" w:rsidRPr="00000000">
        <w:rPr>
          <w:rtl w:val="0"/>
        </w:rPr>
      </w:r>
    </w:p>
    <w:p w:rsidR="00000000" w:rsidDel="00000000" w:rsidP="00000000" w:rsidRDefault="00000000" w:rsidRPr="00000000" w14:paraId="0000008D">
      <w:pPr>
        <w:pStyle w:val="Heading4"/>
        <w:rPr>
          <w:rFonts w:ascii="Georgia" w:cs="Georgia" w:eastAsia="Georgia" w:hAnsi="Georgia"/>
        </w:rPr>
      </w:pPr>
      <w:bookmarkStart w:colFirst="0" w:colLast="0" w:name="_f30rz0smsnf7" w:id="9"/>
      <w:bookmarkEnd w:id="9"/>
      <w:r w:rsidDel="00000000" w:rsidR="00000000" w:rsidRPr="00000000">
        <w:rPr>
          <w:rFonts w:ascii="Georgia" w:cs="Georgia" w:eastAsia="Georgia" w:hAnsi="Georgia"/>
          <w:b w:val="1"/>
          <w:bCs w:val="1"/>
          <w:color w:val="990000"/>
          <w:sz w:val="28"/>
          <w:szCs w:val="28"/>
          <w:rtl w:val="0"/>
        </w:rPr>
        <w:t xml:space="preserve">Conclusions</w:t>
      </w:r>
      <w:r w:rsidDel="00000000" w:rsidR="00000000" w:rsidRPr="00000000">
        <w:rPr>
          <w:rtl w:val="0"/>
        </w:rPr>
      </w:r>
    </w:p>
    <w:p w:rsidR="00000000" w:rsidDel="00000000" w:rsidP="00000000" w:rsidRDefault="00000000" w:rsidRPr="00000000" w14:paraId="0000008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apparent that high academic achievement is valued by the coveted FMCG companies. However, the findings do not suggest that companies value consistent high academic performance, as neither Class 12 (β = –0.57, p = 0.51) or Class 10 scores (β = –0.59, p = 0.49) individually, or their interaction (β = 0.006, p = 0.50) strongly predicted UG scores.</w:t>
      </w:r>
    </w:p>
    <w:p w:rsidR="00000000" w:rsidDel="00000000" w:rsidP="00000000" w:rsidRDefault="00000000" w:rsidRPr="00000000" w14:paraId="0000008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students with </w:t>
      </w:r>
      <w:r w:rsidDel="00000000" w:rsidR="00000000" w:rsidRPr="00000000">
        <w:rPr>
          <w:rFonts w:ascii="Georgia" w:cs="Georgia" w:eastAsia="Georgia" w:hAnsi="Georgia"/>
          <w:b w:val="1"/>
          <w:bCs w:val="1"/>
          <w:sz w:val="24"/>
          <w:szCs w:val="24"/>
          <w:rtl w:val="0"/>
        </w:rPr>
        <w:t xml:space="preserve">lower than median GPAs (&lt;3.64)</w:t>
      </w:r>
      <w:r w:rsidDel="00000000" w:rsidR="00000000" w:rsidRPr="00000000">
        <w:rPr>
          <w:rFonts w:ascii="Georgia" w:cs="Georgia" w:eastAsia="Georgia" w:hAnsi="Georgia"/>
          <w:sz w:val="24"/>
          <w:szCs w:val="24"/>
          <w:rtl w:val="0"/>
        </w:rPr>
        <w:t xml:space="preserve">, most students (</w:t>
      </w:r>
      <w:r w:rsidDel="00000000" w:rsidR="00000000" w:rsidRPr="00000000">
        <w:rPr>
          <w:rFonts w:ascii="Georgia" w:cs="Georgia" w:eastAsia="Georgia" w:hAnsi="Georgia"/>
          <w:b w:val="1"/>
          <w:bCs w:val="1"/>
          <w:sz w:val="24"/>
          <w:szCs w:val="24"/>
          <w:rtl w:val="0"/>
        </w:rPr>
        <w:t xml:space="preserve">~80%</w:t>
      </w:r>
      <w:r w:rsidDel="00000000" w:rsidR="00000000" w:rsidRPr="00000000">
        <w:rPr>
          <w:rFonts w:ascii="Georgia" w:cs="Georgia" w:eastAsia="Georgia" w:hAnsi="Georgia"/>
          <w:sz w:val="24"/>
          <w:szCs w:val="24"/>
          <w:rtl w:val="0"/>
        </w:rPr>
        <w:t xml:space="preserve">) compensated with </w:t>
      </w:r>
      <w:r w:rsidDel="00000000" w:rsidR="00000000" w:rsidRPr="00000000">
        <w:rPr>
          <w:rFonts w:ascii="Georgia" w:cs="Georgia" w:eastAsia="Georgia" w:hAnsi="Georgia"/>
          <w:b w:val="1"/>
          <w:bCs w:val="1"/>
          <w:sz w:val="24"/>
          <w:szCs w:val="24"/>
          <w:rtl w:val="0"/>
        </w:rPr>
        <w:t xml:space="preserve">strong extracurricular achievements</w:t>
      </w:r>
      <w:r w:rsidDel="00000000" w:rsidR="00000000" w:rsidRPr="00000000">
        <w:rPr>
          <w:rFonts w:ascii="Georgia" w:cs="Georgia" w:eastAsia="Georgia" w:hAnsi="Georgia"/>
          <w:sz w:val="24"/>
          <w:szCs w:val="24"/>
          <w:rtl w:val="0"/>
        </w:rPr>
        <w:t xml:space="preserve"> in areas such as divisional and national level representation in a sport, or significant rewards/achievements in other fields like painting and theatre, which demonstrated qualities like discipline, consistency, and excellence in their chosen field. In addition, students were also served by pursuing relevant internships that aligned with the particular role. Even certifications hold less weight unless they are directly relevant to the position. Such certifications benefit from credibility from a renowned institution like Google or University of California (examples taken from placed student profiles). </w:t>
      </w:r>
    </w:p>
    <w:p w:rsidR="00000000" w:rsidDel="00000000" w:rsidP="00000000" w:rsidRDefault="00000000" w:rsidRPr="00000000" w14:paraId="0000009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also likely that FMCG firms are major agnostic based on the diversity of majors represented. Nearly 50% of the students who applied are Economics or Economics &amp; Finance majors, and others belong to STEM (Biotechnology Engineering; 10%), Psychology (20%), Humanities (English &amp; Media Studies and Sociology-Anthropology; 20%). </w:t>
      </w:r>
      <w:r w:rsidDel="00000000" w:rsidR="00000000" w:rsidRPr="00000000">
        <w:rPr>
          <w:rFonts w:ascii="Georgia" w:cs="Georgia" w:eastAsia="Georgia" w:hAnsi="Georgia"/>
          <w:sz w:val="24"/>
          <w:szCs w:val="24"/>
          <w:rtl w:val="0"/>
        </w:rPr>
        <w:t xml:space="preserve">The predominance of Economics majors can also be explained by the fact that most of the applicants are Economics majors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9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240" w:lineRule="auto"/>
        <w:jc w:val="both"/>
        <w:rPr>
          <w:rFonts w:ascii="Georgia" w:cs="Georgia" w:eastAsia="Georgia" w:hAnsi="Georgia"/>
          <w:b w:val="1"/>
          <w:bCs w:val="1"/>
          <w:color w:val="073763"/>
          <w:sz w:val="36"/>
          <w:szCs w:val="36"/>
        </w:rPr>
      </w:pPr>
      <w:bookmarkStart w:colFirst="0" w:colLast="0" w:name="_fcxx8112py7s" w:id="10"/>
      <w:bookmarkEnd w:id="10"/>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3"/>
        <w:keepNext w:val="0"/>
        <w:keepLines w:val="0"/>
        <w:spacing w:before="280" w:line="240" w:lineRule="auto"/>
        <w:jc w:val="both"/>
        <w:rPr>
          <w:rFonts w:ascii="Georgia" w:cs="Georgia" w:eastAsia="Georgia" w:hAnsi="Georgia"/>
          <w:b w:val="1"/>
          <w:bCs w:val="1"/>
          <w:sz w:val="24"/>
          <w:szCs w:val="24"/>
        </w:rPr>
      </w:pPr>
      <w:bookmarkStart w:colFirst="0" w:colLast="0" w:name="_59jmzg4024au" w:id="11"/>
      <w:bookmarkEnd w:id="11"/>
      <w:r w:rsidDel="00000000" w:rsidR="00000000" w:rsidRPr="00000000">
        <w:rPr>
          <w:rFonts w:ascii="Georgia" w:cs="Georgia" w:eastAsia="Georgia" w:hAnsi="Georgia"/>
          <w:b w:val="1"/>
          <w:bCs w:val="1"/>
          <w:color w:val="073763"/>
          <w:sz w:val="36"/>
          <w:szCs w:val="36"/>
          <w:rtl w:val="0"/>
        </w:rPr>
        <w:t xml:space="preserve">Internships, Work Experience, and Projects</w:t>
      </w:r>
      <w:r w:rsidDel="00000000" w:rsidR="00000000" w:rsidRPr="00000000">
        <w:rPr>
          <w:rtl w:val="0"/>
        </w:rPr>
      </w:r>
    </w:p>
    <w:p w:rsidR="00000000" w:rsidDel="00000000" w:rsidP="00000000" w:rsidRDefault="00000000" w:rsidRPr="00000000" w14:paraId="0000009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Internships and projects stand out as the most common and influential factor in securing placements, with students </w:t>
      </w:r>
      <w:r w:rsidDel="00000000" w:rsidR="00000000" w:rsidRPr="00000000">
        <w:rPr>
          <w:rFonts w:ascii="Georgia" w:cs="Georgia" w:eastAsia="Georgia" w:hAnsi="Georgia"/>
          <w:b w:val="1"/>
          <w:bCs w:val="1"/>
          <w:sz w:val="24"/>
          <w:szCs w:val="24"/>
          <w:rtl w:val="0"/>
        </w:rPr>
        <w:t xml:space="preserve">averaging five internships or projects</w:t>
      </w:r>
      <w:r w:rsidDel="00000000" w:rsidR="00000000" w:rsidRPr="00000000">
        <w:rPr>
          <w:rFonts w:ascii="Georgia" w:cs="Georgia" w:eastAsia="Georgia" w:hAnsi="Georgia"/>
          <w:sz w:val="24"/>
          <w:szCs w:val="24"/>
          <w:rtl w:val="0"/>
        </w:rPr>
        <w:t xml:space="preserve"> (combined). This strong emphasis on practical exposure reflects FMCG companies’ demand for candidates who can demonstrate industry-relevant skills, adaptability, and real-world problem-solving abilities.</w:t>
      </w:r>
    </w:p>
    <w:p w:rsidR="00000000" w:rsidDel="00000000" w:rsidP="00000000" w:rsidRDefault="00000000" w:rsidRPr="00000000" w14:paraId="0000009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9">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Most students had around four internships</w:t>
      </w:r>
      <w:r w:rsidDel="00000000" w:rsidR="00000000" w:rsidRPr="00000000">
        <w:rPr>
          <w:rFonts w:ascii="Georgia" w:cs="Georgia" w:eastAsia="Georgia" w:hAnsi="Georgia"/>
          <w:sz w:val="24"/>
          <w:szCs w:val="24"/>
          <w:rtl w:val="0"/>
        </w:rPr>
        <w:t xml:space="preserve">, while on the higher end, students had five. On the lower end, few students had around two internships. One of these students had higher educational qualifications and came from a STEM background, making it easier for them to get placed in HUL despite a lower number of internships. On the other hand, the other student with two internships had the highest number of leadership positions, helping them secure a role at Marico Limited.</w:t>
      </w:r>
    </w:p>
    <w:p w:rsidR="00000000" w:rsidDel="00000000" w:rsidP="00000000" w:rsidRDefault="00000000" w:rsidRPr="00000000" w14:paraId="0000009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B">
      <w:pPr>
        <w:jc w:val="center"/>
        <w:rPr>
          <w:rFonts w:ascii="Georgia" w:cs="Georgia" w:eastAsia="Georgia" w:hAnsi="Georgia"/>
          <w:sz w:val="24"/>
          <w:szCs w:val="24"/>
        </w:rPr>
      </w:pPr>
      <w:r w:rsidDel="00000000" w:rsidR="00000000" w:rsidRPr="00000000">
        <w:rPr>
          <w:rFonts w:ascii="Georgia" w:cs="Georgia" w:eastAsia="Georgia" w:hAnsi="Georgia"/>
          <w:b w:val="1"/>
          <w:bCs w:val="1"/>
          <w:sz w:val="28"/>
          <w:szCs w:val="28"/>
        </w:rPr>
        <w:drawing>
          <wp:inline distB="114300" distT="114300" distL="114300" distR="114300">
            <wp:extent cx="4872038" cy="3012481"/>
            <wp:effectExtent b="12700" l="12700" r="12700" t="12700"/>
            <wp:docPr descr="Chart" id="10" name="image7.png"/>
            <a:graphic>
              <a:graphicData uri="http://schemas.openxmlformats.org/drawingml/2006/picture">
                <pic:pic>
                  <pic:nvPicPr>
                    <pic:cNvPr descr="Chart" id="0" name="image7.png"/>
                    <pic:cNvPicPr preferRelativeResize="0"/>
                  </pic:nvPicPr>
                  <pic:blipFill>
                    <a:blip r:embed="rId12"/>
                    <a:srcRect b="0" l="0" r="0" t="0"/>
                    <a:stretch>
                      <a:fillRect/>
                    </a:stretch>
                  </pic:blipFill>
                  <pic:spPr>
                    <a:xfrm>
                      <a:off x="0" y="0"/>
                      <a:ext cx="4872038" cy="30124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most of the FMCG companies have offered highly general, management oriented roles, some of them (ITC and HUL) have offered HR and Marketing positions to students. Students have internships across diverse sectors, but it has been observed that students targeting HR or Marketing roles have </w:t>
      </w:r>
      <w:r w:rsidDel="00000000" w:rsidR="00000000" w:rsidRPr="00000000">
        <w:rPr>
          <w:rFonts w:ascii="Georgia" w:cs="Georgia" w:eastAsia="Georgia" w:hAnsi="Georgia"/>
          <w:b w:val="1"/>
          <w:bCs w:val="1"/>
          <w:sz w:val="24"/>
          <w:szCs w:val="24"/>
          <w:rtl w:val="0"/>
        </w:rPr>
        <w:t xml:space="preserve">at least 2 internships in the relevant sector or function</w:t>
      </w:r>
      <w:r w:rsidDel="00000000" w:rsidR="00000000" w:rsidRPr="00000000">
        <w:rPr>
          <w:rFonts w:ascii="Georgia" w:cs="Georgia" w:eastAsia="Georgia" w:hAnsi="Georgia"/>
          <w:sz w:val="24"/>
          <w:szCs w:val="24"/>
          <w:rtl w:val="0"/>
        </w:rPr>
        <w:t xml:space="preserve">. On the other hand, students who got placed in management trainee roles have had internships across wide ranging domains and functions, including finance, research, marketing, etc.</w:t>
      </w:r>
    </w:p>
    <w:p w:rsidR="00000000" w:rsidDel="00000000" w:rsidP="00000000" w:rsidRDefault="00000000" w:rsidRPr="00000000" w14:paraId="0000009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F">
      <w:pPr>
        <w:jc w:val="center"/>
        <w:rPr>
          <w:rFonts w:ascii="Georgia" w:cs="Georgia" w:eastAsia="Georgia" w:hAnsi="Georgia"/>
          <w:sz w:val="24"/>
          <w:szCs w:val="24"/>
        </w:rPr>
      </w:pPr>
      <w:r w:rsidDel="00000000" w:rsidR="00000000" w:rsidRPr="00000000">
        <w:rPr>
          <w:rFonts w:ascii="Georgia" w:cs="Georgia" w:eastAsia="Georgia" w:hAnsi="Georgia"/>
          <w:b w:val="1"/>
          <w:bCs w:val="1"/>
          <w:sz w:val="28"/>
          <w:szCs w:val="28"/>
        </w:rPr>
        <w:drawing>
          <wp:inline distB="114300" distT="114300" distL="114300" distR="114300">
            <wp:extent cx="4719638" cy="2903683"/>
            <wp:effectExtent b="12700" l="12700" r="12700" t="12700"/>
            <wp:docPr descr="Chart" id="4" name="image9.png"/>
            <a:graphic>
              <a:graphicData uri="http://schemas.openxmlformats.org/drawingml/2006/picture">
                <pic:pic>
                  <pic:nvPicPr>
                    <pic:cNvPr descr="Chart" id="0" name="image9.png"/>
                    <pic:cNvPicPr preferRelativeResize="0"/>
                  </pic:nvPicPr>
                  <pic:blipFill>
                    <a:blip r:embed="rId13"/>
                    <a:srcRect b="0" l="0" r="0" t="0"/>
                    <a:stretch>
                      <a:fillRect/>
                    </a:stretch>
                  </pic:blipFill>
                  <pic:spPr>
                    <a:xfrm>
                      <a:off x="0" y="0"/>
                      <a:ext cx="4719638" cy="29036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1">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Research and publications</w:t>
      </w:r>
      <w:r w:rsidDel="00000000" w:rsidR="00000000" w:rsidRPr="00000000">
        <w:rPr>
          <w:rFonts w:ascii="Georgia" w:cs="Georgia" w:eastAsia="Georgia" w:hAnsi="Georgia"/>
          <w:sz w:val="24"/>
          <w:szCs w:val="24"/>
          <w:rtl w:val="0"/>
        </w:rPr>
        <w:t xml:space="preserve">: Within projects, only </w:t>
      </w:r>
      <w:r w:rsidDel="00000000" w:rsidR="00000000" w:rsidRPr="00000000">
        <w:rPr>
          <w:rFonts w:ascii="Georgia" w:cs="Georgia" w:eastAsia="Georgia" w:hAnsi="Georgia"/>
          <w:b w:val="1"/>
          <w:bCs w:val="1"/>
          <w:sz w:val="24"/>
          <w:szCs w:val="24"/>
          <w:rtl w:val="0"/>
        </w:rPr>
        <w:t xml:space="preserve">20-30%</w:t>
      </w:r>
      <w:r w:rsidDel="00000000" w:rsidR="00000000" w:rsidRPr="00000000">
        <w:rPr>
          <w:rFonts w:ascii="Georgia" w:cs="Georgia" w:eastAsia="Georgia" w:hAnsi="Georgia"/>
          <w:sz w:val="24"/>
          <w:szCs w:val="24"/>
          <w:rtl w:val="0"/>
        </w:rPr>
        <w:t xml:space="preserve"> of the candidates had research and publications mentioned in their resumes, but they had other components in their resume that overshadowed their research (such as their internships or industry relevant projects) and hence, it is likely that research and publications do not enhance one’s application very significantly.</w:t>
      </w:r>
    </w:p>
    <w:p w:rsidR="00000000" w:rsidDel="00000000" w:rsidP="00000000" w:rsidRDefault="00000000" w:rsidRPr="00000000" w14:paraId="000000A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3">
      <w:pPr>
        <w:jc w:val="center"/>
        <w:rPr>
          <w:rFonts w:ascii="Georgia" w:cs="Georgia" w:eastAsia="Georgia" w:hAnsi="Georgia"/>
          <w:sz w:val="24"/>
          <w:szCs w:val="24"/>
        </w:rPr>
      </w:pPr>
      <w:r w:rsidDel="00000000" w:rsidR="00000000" w:rsidRPr="00000000">
        <w:rPr>
          <w:rFonts w:ascii="Georgia" w:cs="Georgia" w:eastAsia="Georgia" w:hAnsi="Georgia"/>
          <w:b w:val="1"/>
          <w:bCs w:val="1"/>
          <w:sz w:val="28"/>
          <w:szCs w:val="28"/>
        </w:rPr>
        <w:drawing>
          <wp:inline distB="114300" distT="114300" distL="114300" distR="114300">
            <wp:extent cx="4429125" cy="2743200"/>
            <wp:effectExtent b="12700" l="12700" r="12700" t="12700"/>
            <wp:docPr descr="Chart" id="6" name="image1.png"/>
            <a:graphic>
              <a:graphicData uri="http://schemas.openxmlformats.org/drawingml/2006/picture">
                <pic:pic>
                  <pic:nvPicPr>
                    <pic:cNvPr descr="Chart" id="0" name="image1.png"/>
                    <pic:cNvPicPr preferRelativeResize="0"/>
                  </pic:nvPicPr>
                  <pic:blipFill>
                    <a:blip r:embed="rId14"/>
                    <a:srcRect b="0" l="0" r="0" t="0"/>
                    <a:stretch>
                      <a:fillRect/>
                    </a:stretch>
                  </pic:blipFill>
                  <pic:spPr>
                    <a:xfrm>
                      <a:off x="0" y="0"/>
                      <a:ext cx="4429125"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5">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PPO</w:t>
      </w:r>
      <w:r w:rsidDel="00000000" w:rsidR="00000000" w:rsidRPr="00000000">
        <w:rPr>
          <w:rFonts w:ascii="Georgia" w:cs="Georgia" w:eastAsia="Georgia" w:hAnsi="Georgia"/>
          <w:sz w:val="24"/>
          <w:szCs w:val="24"/>
          <w:rtl w:val="0"/>
        </w:rPr>
        <w:t xml:space="preserve">: 70% of the students were hired through direct recruitment, while the other 30% received PPOs. Most students who received PPOs were for management trainee roles, while for HR or Marketing roles, direct, on-campus recruitments were more prominent.</w:t>
      </w:r>
    </w:p>
    <w:p w:rsidR="00000000" w:rsidDel="00000000" w:rsidP="00000000" w:rsidRDefault="00000000" w:rsidRPr="00000000" w14:paraId="000000A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240" w:lineRule="auto"/>
        <w:jc w:val="both"/>
        <w:rPr>
          <w:rFonts w:ascii="Georgia" w:cs="Georgia" w:eastAsia="Georgia" w:hAnsi="Georgia"/>
          <w:b w:val="1"/>
          <w:bCs w:val="1"/>
          <w:sz w:val="24"/>
          <w:szCs w:val="24"/>
        </w:rPr>
      </w:pPr>
      <w:bookmarkStart w:colFirst="0" w:colLast="0" w:name="_ea6m9312vqvs" w:id="12"/>
      <w:bookmarkEnd w:id="12"/>
      <w:r w:rsidDel="00000000" w:rsidR="00000000" w:rsidRPr="00000000">
        <w:rPr>
          <w:rFonts w:ascii="Georgia" w:cs="Georgia" w:eastAsia="Georgia" w:hAnsi="Georgia"/>
          <w:b w:val="1"/>
          <w:bCs w:val="1"/>
          <w:color w:val="073763"/>
          <w:sz w:val="36"/>
          <w:szCs w:val="36"/>
          <w:rtl w:val="0"/>
        </w:rPr>
        <w:t xml:space="preserve">Club Positions, Positions of Responsibility, and Extracurriculars</w:t>
      </w:r>
      <w:r w:rsidDel="00000000" w:rsidR="00000000" w:rsidRPr="00000000">
        <w:rPr>
          <w:rtl w:val="0"/>
        </w:rPr>
      </w:r>
    </w:p>
    <w:p w:rsidR="00000000" w:rsidDel="00000000" w:rsidP="00000000" w:rsidRDefault="00000000" w:rsidRPr="00000000" w14:paraId="000000A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Leadership positions are less common, but they serve as an important differentiator. Companies like Marico seem to give significant weight to leadership and communication skills, evidenced by the fact that the candidate who got placed in Marico had the highest number of leadership positions (4, compared to 2-3 for others).</w:t>
      </w:r>
    </w:p>
    <w:p w:rsidR="00000000" w:rsidDel="00000000" w:rsidP="00000000" w:rsidRDefault="00000000" w:rsidRPr="00000000" w14:paraId="000000A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B">
      <w:pPr>
        <w:jc w:val="center"/>
        <w:rPr>
          <w:rFonts w:ascii="Georgia" w:cs="Georgia" w:eastAsia="Georgia" w:hAnsi="Georgia"/>
          <w:sz w:val="24"/>
          <w:szCs w:val="24"/>
        </w:rPr>
      </w:pPr>
      <w:r w:rsidDel="00000000" w:rsidR="00000000" w:rsidRPr="00000000">
        <w:rPr>
          <w:rFonts w:ascii="Georgia" w:cs="Georgia" w:eastAsia="Georgia" w:hAnsi="Georgia"/>
          <w:b w:val="1"/>
          <w:bCs w:val="1"/>
          <w:sz w:val="28"/>
          <w:szCs w:val="28"/>
        </w:rPr>
        <w:drawing>
          <wp:inline distB="114300" distT="114300" distL="114300" distR="114300">
            <wp:extent cx="5162374" cy="3192663"/>
            <wp:effectExtent b="12700" l="12700" r="12700" t="12700"/>
            <wp:docPr descr="Chart" id="8" name="image2.png"/>
            <a:graphic>
              <a:graphicData uri="http://schemas.openxmlformats.org/drawingml/2006/picture">
                <pic:pic>
                  <pic:nvPicPr>
                    <pic:cNvPr descr="Chart" id="0" name="image2.png"/>
                    <pic:cNvPicPr preferRelativeResize="0"/>
                  </pic:nvPicPr>
                  <pic:blipFill>
                    <a:blip r:embed="rId15"/>
                    <a:srcRect b="0" l="0" r="0" t="0"/>
                    <a:stretch>
                      <a:fillRect/>
                    </a:stretch>
                  </pic:blipFill>
                  <pic:spPr>
                    <a:xfrm>
                      <a:off x="0" y="0"/>
                      <a:ext cx="5162374" cy="31926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A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Leadership positions both inside and outside student organisations served as a proof of transferable, soft skills. Most people had 3 positions within student organisations, and 1 position of responsibility. There seems to be no requirement that students had to be a part of clubs or societies that were directly relevant to the roles they were hired for. However, for instance, being the outreach head of a society served as a proof of one’s communication and initiative skills.</w:t>
      </w:r>
    </w:p>
    <w:p w:rsidR="00000000" w:rsidDel="00000000" w:rsidP="00000000" w:rsidRDefault="00000000" w:rsidRPr="00000000" w14:paraId="000000A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lot of people had significant achievements in fields like sports, art, as well as volunteering experiences. Around 60% had some sort of extracurricular activity outside of the above mentioned categories.</w:t>
      </w:r>
    </w:p>
    <w:p w:rsidR="00000000" w:rsidDel="00000000" w:rsidP="00000000" w:rsidRDefault="00000000" w:rsidRPr="00000000" w14:paraId="000000B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1">
      <w:pPr>
        <w:jc w:val="center"/>
        <w:rPr>
          <w:rFonts w:ascii="Georgia" w:cs="Georgia" w:eastAsia="Georgia" w:hAnsi="Georgia"/>
          <w:sz w:val="24"/>
          <w:szCs w:val="24"/>
        </w:rPr>
      </w:pPr>
      <w:r w:rsidDel="00000000" w:rsidR="00000000" w:rsidRPr="00000000">
        <w:rPr>
          <w:rFonts w:ascii="Georgia" w:cs="Georgia" w:eastAsia="Georgia" w:hAnsi="Georgia"/>
          <w:b w:val="1"/>
          <w:bCs w:val="1"/>
          <w:sz w:val="28"/>
          <w:szCs w:val="28"/>
        </w:rPr>
        <w:drawing>
          <wp:inline distB="114300" distT="114300" distL="114300" distR="114300">
            <wp:extent cx="5182585" cy="3205163"/>
            <wp:effectExtent b="12700" l="12700" r="12700" t="12700"/>
            <wp:docPr descr="Chart" id="3" name="image5.png"/>
            <a:graphic>
              <a:graphicData uri="http://schemas.openxmlformats.org/drawingml/2006/picture">
                <pic:pic>
                  <pic:nvPicPr>
                    <pic:cNvPr descr="Chart" id="0" name="image5.png"/>
                    <pic:cNvPicPr preferRelativeResize="0"/>
                  </pic:nvPicPr>
                  <pic:blipFill>
                    <a:blip r:embed="rId16"/>
                    <a:srcRect b="0" l="0" r="0" t="0"/>
                    <a:stretch>
                      <a:fillRect/>
                    </a:stretch>
                  </pic:blipFill>
                  <pic:spPr>
                    <a:xfrm>
                      <a:off x="0" y="0"/>
                      <a:ext cx="5182585" cy="32051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D">
      <w:pPr>
        <w:rPr>
          <w:rFonts w:ascii="Georgia" w:cs="Georgia" w:eastAsia="Georgia" w:hAnsi="Georgia"/>
          <w:sz w:val="24"/>
          <w:szCs w:val="24"/>
        </w:rPr>
      </w:pPr>
      <w:r w:rsidDel="00000000" w:rsidR="00000000" w:rsidRPr="00000000">
        <w:rPr>
          <w:rtl w:val="0"/>
        </w:rPr>
      </w:r>
    </w:p>
    <w:sectPr>
      <w:headerReference r:id="rId17" w:type="default"/>
      <w:footerReference r:id="rId1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jc w:val="right"/>
      <w:rPr>
        <w:rFonts w:ascii="Georgia" w:cs="Georgia" w:eastAsia="Georgia" w:hAnsi="Georgia"/>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ind w:left="-1170" w:firstLine="0"/>
      <w:jc w:val="center"/>
      <w:rPr>
        <w:rFonts w:ascii="Georgia" w:cs="Georgia" w:eastAsia="Georgia" w:hAnsi="Georgia"/>
        <w:color w:val="ffffff"/>
      </w:rPr>
    </w:pPr>
    <w:r w:rsidDel="00000000" w:rsidR="00000000" w:rsidRPr="00000000">
      <w:rPr>
        <w:rFonts w:ascii="Georgia" w:cs="Georgia" w:eastAsia="Georgia" w:hAnsi="Georgia"/>
        <w:color w:val="ffffff"/>
        <w:rtl w:val="0"/>
      </w:rPr>
      <w:t xml:space="preserve">                     Disclaimer: Please make sure to open the document on a laptop to access the document properly.</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-1400174</wp:posOffset>
              </wp:positionH>
              <wp:positionV relativeFrom="paragraph">
                <wp:posOffset>-104774</wp:posOffset>
              </wp:positionV>
              <wp:extent cx="9405938" cy="376238"/>
              <wp:effectExtent b="0" l="0" r="0" t="0"/>
              <wp:wrapNone/>
              <wp:docPr id="1" name=""/>
              <a:graphic>
                <a:graphicData uri="http://schemas.microsoft.com/office/word/2010/wordprocessingShape">
                  <wps:wsp>
                    <wps:cNvSpPr/>
                    <wps:cNvPr id="2" name="Shape 2"/>
                    <wps:spPr>
                      <a:xfrm>
                        <a:off x="-314675" y="994800"/>
                        <a:ext cx="8039400" cy="284100"/>
                      </a:xfrm>
                      <a:prstGeom prst="rect">
                        <a:avLst/>
                      </a:prstGeom>
                      <a:solidFill>
                        <a:srgbClr val="113655"/>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-1400174</wp:posOffset>
              </wp:positionH>
              <wp:positionV relativeFrom="paragraph">
                <wp:posOffset>-104774</wp:posOffset>
              </wp:positionV>
              <wp:extent cx="9405938" cy="376238"/>
              <wp:effectExtent b="0" l="0" r="0" t="0"/>
              <wp:wrapNone/>
              <wp:docPr id="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9405938" cy="37623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0.png"/><Relationship Id="rId18" Type="http://schemas.openxmlformats.org/officeDocument/2006/relationships/footer" Target="footer1.xml"/><Relationship Id="rId7" Type="http://schemas.openxmlformats.org/officeDocument/2006/relationships/hyperlink" Target="https://docs.google.com/spreadsheets/d/1BYCSqpOS_e0WHtZcpIKX-TAsncJy2Knc/edit?gid=803264311#gid=803264311"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