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BenefitBridge (Proactive Entitlement Agent): first stakeholder meeting, points to confirm</w:t>
      </w:r>
    </w:p>
    <w:p>
      <w:r>
        <w:rPr>
          <w:i/>
        </w:rPr>
        <w:t>Audience: Head of Benefits Operations, a team leader, Policy, Data Protection Officer, IT. Opening line: "We built this from our reading of how life events reach the agency today. We want you to correct us before we go further." Show the live demo first (Today's cases, Diego Santos, Maya Silva, Quality checks), then go through the points below. ★ = must answer in this meeting.</w:t>
      </w:r>
    </w:p>
    <w:p>
      <w:pPr>
        <w:spacing w:before="100"/>
      </w:pPr>
      <w:r>
        <w:rPr>
          <w:b/>
          <w:color w:val="1F4E79"/>
          <w:sz w:val="22"/>
        </w:rPr>
        <w:t>1. Is the problem right?</w:t>
      </w:r>
    </w:p>
    <w:p>
      <w:pPr>
        <w:pStyle w:val="ListBullet"/>
        <w:spacing w:after="20"/>
      </w:pPr>
      <w:r>
        <w:t>★ Our diagnosis: support is not unclaimed because people are ineligible, but because services wait to be asked. Only 21% of eligible households were enrolled within 30 days and $160,770 a year is unclaimed across 141 households. Does this match what you see?</w:t>
      </w:r>
    </w:p>
    <w:p>
      <w:pPr>
        <w:pStyle w:val="ListBullet"/>
        <w:spacing w:after="20"/>
      </w:pPr>
      <w:r>
        <w:t>Which pain matters most to you: late support for citizens, caseworker time (45 minutes per full check), or crises buried in the inbox? This sets what the pilot proves first.</w:t>
      </w:r>
    </w:p>
    <w:p>
      <w:pPr>
        <w:pStyle w:val="ListBullet"/>
        <w:spacing w:after="20"/>
      </w:pPr>
      <w:r>
        <w:t>Persona: we designed for a senior caseworker (Priya). Confirm frontline caseworkers are the right first users, and who sponsors the pilot.</w:t>
      </w:r>
    </w:p>
    <w:p>
      <w:pPr>
        <w:pStyle w:val="ListBullet"/>
        <w:spacing w:after="20"/>
      </w:pPr>
      <w:r>
        <w:t>Which life events reach the agency today, and how fast? We assumed births, deaths, redundancies, hospital discharges and rent changes arrive within days.</w:t>
      </w:r>
    </w:p>
    <w:p>
      <w:pPr>
        <w:spacing w:before="100"/>
      </w:pPr>
      <w:r>
        <w:rPr>
          <w:b/>
          <w:color w:val="1F4E79"/>
          <w:sz w:val="22"/>
        </w:rPr>
        <w:t>2. North Star and success</w:t>
      </w:r>
    </w:p>
    <w:p>
      <w:pPr>
        <w:pStyle w:val="ListBullet"/>
        <w:spacing w:after="20"/>
      </w:pPr>
      <w:r>
        <w:t>★ North Star = eligible households enrolled within 30 days of a life event. Confirm what 'enrolled' means: claim submitted, or first payment made.</w:t>
      </w:r>
    </w:p>
    <w:p>
      <w:pPr>
        <w:pStyle w:val="ListBullet"/>
        <w:spacing w:after="20"/>
      </w:pPr>
      <w:r>
        <w:t>Is 30 days the right window, or should it differ by event (for example, faster for bereavement and eviction)?</w:t>
      </w:r>
    </w:p>
    <w:p>
      <w:pPr>
        <w:pStyle w:val="ListBullet"/>
        <w:spacing w:after="20"/>
      </w:pPr>
      <w:r>
        <w:t>Baseline 21% comes from 320 synthetic past events. Can we compute the real baseline from last year's data before the pilot?</w:t>
      </w:r>
    </w:p>
    <w:p>
      <w:pPr>
        <w:pStyle w:val="ListBullet"/>
        <w:spacing w:after="20"/>
      </w:pPr>
      <w:r>
        <w:t>Targets: 45% in a six-month pilot, 60% at full rollout, 10-minute reviews. Are these realistic and meaningful to you and to ministers?</w:t>
      </w:r>
    </w:p>
    <w:p>
      <w:pPr>
        <w:spacing w:before="100"/>
      </w:pPr>
      <w:r>
        <w:rPr>
          <w:b/>
          <w:color w:val="1F4E79"/>
          <w:sz w:val="22"/>
        </w:rPr>
        <w:t>3. Legal basis, data access and privacy (biggest blocker)</w:t>
      </w:r>
    </w:p>
    <w:p>
      <w:pPr>
        <w:pStyle w:val="ListBullet"/>
        <w:spacing w:after="20"/>
      </w:pPr>
      <w:r>
        <w:t>★ Does the agency have the legal basis to contact people proactively, or does it need opt-in consent? The product supports both through the consent flag.</w:t>
      </w:r>
    </w:p>
    <w:p>
      <w:pPr>
        <w:pStyle w:val="ListBullet"/>
        <w:spacing w:after="20"/>
      </w:pPr>
      <w:r>
        <w:t>★ Which feeds can we use in the pilot region: births and deaths registry, employer notices, hospital discharges? Who owns each data-sharing agreement?</w:t>
      </w:r>
    </w:p>
    <w:p>
      <w:pPr>
        <w:pStyle w:val="ListBullet"/>
        <w:spacing w:after="20"/>
      </w:pPr>
      <w:r>
        <w:t>★ Can citizen data be sent to external model providers (Groq as primary, Anthropic's Claude as backup) with zero data retention and no training, or must it stay in-country or on a government cloud? This decides whether the two-provider setup is allowed at all.</w:t>
      </w:r>
    </w:p>
    <w:p>
      <w:pPr>
        <w:pStyle w:val="ListBullet"/>
        <w:spacing w:after="20"/>
      </w:pPr>
      <w:r>
        <w:t>Data minimisation: names, addresses, health detail beyond 'unable to work', and protected characteristics are kept out of the AI calls. Does the DPO agree with the exclusion list in the PRD?</w:t>
      </w:r>
    </w:p>
    <w:p>
      <w:pPr>
        <w:pStyle w:val="ListBullet"/>
        <w:spacing w:after="20"/>
      </w:pPr>
      <w:r>
        <w:t>Who signs the DPIA and the algorithmic impact assessment, and how long does that take?</w:t>
      </w:r>
    </w:p>
    <w:p>
      <w:pPr>
        <w:spacing w:before="100"/>
      </w:pPr>
      <w:r>
        <w:rPr>
          <w:b/>
          <w:color w:val="1F4E79"/>
          <w:sz w:val="22"/>
        </w:rPr>
        <w:t>4. Scope and guardrails</w:t>
      </w:r>
    </w:p>
    <w:p>
      <w:pPr>
        <w:pStyle w:val="ListBullet"/>
        <w:spacing w:after="20"/>
      </w:pPr>
      <w:r>
        <w:t>Confirm the 'never' list: no automatic awards or payments, no message without caseworker approval, no AI eligibility decisions, no Disability Support or Hardship Grant without a person, no fraud scoring.</w:t>
      </w:r>
    </w:p>
    <w:p>
      <w:pPr>
        <w:pStyle w:val="ListBullet"/>
        <w:spacing w:after="20"/>
      </w:pPr>
      <w:r>
        <w:t>Which schemes are discretionary in practice? We treated Disability Support and the Emergency Hardship Grant as caseworker-only.</w:t>
      </w:r>
    </w:p>
    <w:p>
      <w:pPr>
        <w:pStyle w:val="ListBullet"/>
        <w:spacing w:after="20"/>
      </w:pPr>
      <w:r>
        <w:t>Who owns the rules engine when scheme rules change, and how much notice do we get of changes?</w:t>
      </w:r>
    </w:p>
    <w:p>
      <w:pPr>
        <w:pStyle w:val="ListBullet"/>
        <w:spacing w:after="20"/>
      </w:pPr>
      <w:r>
        <w:t>Which channels should outreach use: letter, SMS, email or the citizen portal? How do we help citizens trust an unexpected message (phishing fear)?</w:t>
      </w:r>
    </w:p>
    <w:p>
      <w:pPr>
        <w:spacing w:before="100"/>
      </w:pPr>
      <w:r>
        <w:rPr>
          <w:b/>
          <w:color w:val="1F4E79"/>
          <w:sz w:val="22"/>
        </w:rPr>
        <w:t>5. Quality on real data</w:t>
      </w:r>
    </w:p>
    <w:p>
      <w:pPr>
        <w:pStyle w:val="ListBullet"/>
        <w:spacing w:after="20"/>
      </w:pPr>
      <w:r>
        <w:t>The prototype has only run on synthetic data. Live on Groq it passes every launch eval (fact recall 98.7%, 40 of 40 cases exactly right). Ask for about 500 anonymised past events with known outcomes to check that holds on real data.</w:t>
      </w:r>
    </w:p>
    <w:p>
      <w:pPr>
        <w:pStyle w:val="ListBullet"/>
        <w:spacing w:after="20"/>
      </w:pPr>
      <w:r>
        <w:t>Model choice: Groq (gpt-oss-120b) as primary for cost, Claude Opus 5.5 as automatic backup. Groq stays primary only if it passes the same launch evals; otherwise Claude becomes primary. Agree on that rule.</w:t>
      </w:r>
    </w:p>
    <w:p>
      <w:pPr>
        <w:pStyle w:val="ListBullet"/>
        <w:spacing w:after="20"/>
      </w:pPr>
      <w:r>
        <w:t>Which languages must the pilot support? The dataset has 7, and 68 of 141 households prefer a language other than English.</w:t>
      </w:r>
    </w:p>
    <w:p>
      <w:pPr>
        <w:spacing w:before="100"/>
      </w:pPr>
      <w:r>
        <w:rPr>
          <w:b/>
          <w:color w:val="1F4E79"/>
          <w:sz w:val="22"/>
        </w:rPr>
        <w:t>6. Cost, timeline and decision-makers</w:t>
      </w:r>
    </w:p>
    <w:p>
      <w:pPr>
        <w:pStyle w:val="ListBullet"/>
        <w:spacing w:after="20"/>
      </w:pPr>
      <w:r>
        <w:t>Running cost: about $132 a month for 22,500 events ($87 AI, budgeting 10% of events on the Claude backup; $45 hosting). Claude-only would be about $707. Who approves spend and procurement of two model providers?</w:t>
      </w:r>
    </w:p>
    <w:p>
      <w:pPr>
        <w:pStyle w:val="ListBullet"/>
        <w:spacing w:after="20"/>
      </w:pPr>
      <w:r>
        <w:t>★ Agree the timeline: data-sharing and DPIA by December 2026, shadow mode in Q1 2027, assisted pilot with 10 caseworkers in Q2 2027.</w:t>
      </w:r>
    </w:p>
    <w:p>
      <w:pPr>
        <w:pStyle w:val="ListBullet"/>
        <w:spacing w:after="20"/>
      </w:pPr>
      <w:r>
        <w:t>Will staff and unions accept the framing that freed time is redeployed to complex cases, not cut? Who should we brief?</w:t>
      </w:r>
    </w:p>
    <w:p>
      <w:pPr>
        <w:pStyle w:val="ListBullet"/>
        <w:spacing w:after="20"/>
      </w:pPr>
      <w:r>
        <w:t>Who signs off the PRD (Operations, Policy, DPO, IT)? Who is our day-to-day contact?</w:t>
      </w:r>
    </w:p>
    <w:p>
      <w:pPr>
        <w:spacing w:before="100"/>
      </w:pPr>
      <w:r>
        <w:rPr>
          <w:b/>
          <w:color w:val="1F4E79"/>
          <w:sz w:val="22"/>
        </w:rPr>
        <w:t>Close the meeting with</w:t>
      </w:r>
    </w:p>
    <w:p>
      <w:pPr>
        <w:pStyle w:val="ListBullet"/>
        <w:spacing w:after="20"/>
      </w:pPr>
      <w:r>
        <w:t>Owners and dates for: legal basis for proactive contact, data-sharing agreements for the pilot region, model-provider decision, 500 past events for live evals, DPIA sign-off, shadow-mode start date.</w:t>
      </w:r>
    </w:p>
    <w:sectPr w:rsidR="00FC693F" w:rsidRPr="0006063C" w:rsidSect="00034616">
      <w:pgSz w:w="12240" w:h="15840"/>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