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BRINDHA PATHOLOGY</w:t>
      </w:r>
    </w:p>
    <w:p>
      <w:r>
        <w:t>CLINICIAN-APPROVED SYNTHETIC DEMONSTRATION</w:t>
      </w:r>
    </w:p>
    <w:p>
      <w:pPr>
        <w:pStyle w:val="Heading1"/>
      </w:pPr>
      <w:r>
        <w:t>Histopathology Report</w:t>
      </w:r>
    </w:p>
    <w:p>
      <w:r>
        <w:t>Patient: Patient Alpha (DEMO-101)</w:t>
      </w:r>
    </w:p>
    <w:p>
      <w:r>
        <w:t>Synthetic appendix section shows inflammation.</w:t>
      </w:r>
    </w:p>
    <w:p>
      <w:r>
        <w:t>Signature: Dr. Brindha</w:t>
      </w:r>
    </w:p>
    <w:p>
      <w:r>
        <w:t>Approved by demo clinician · job synthetic-de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