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80"/>
      </w:pPr>
      <w:r>
        <w:rPr>
          <w:rFonts w:ascii="Calibri" w:hAnsi="Calibri"/>
          <w:b/>
          <w:color w:val="2563EB"/>
          <w:sz w:val="20"/>
        </w:rPr>
        <w:t>FINAL RELEASE-CANDIDATE AUDIT</w:t>
      </w:r>
    </w:p>
    <w:p>
      <w:pPr>
        <w:pStyle w:val="Title"/>
      </w:pPr>
      <w:r>
        <w:rPr>
          <w:rFonts w:ascii="Calibri" w:hAnsi="Calibri"/>
          <w:b/>
          <w:color w:val="0F172A"/>
          <w:sz w:val="56"/>
        </w:rPr>
        <w:t>RepRoot Studio</w:t>
        <w:br/>
        <w:t>Website and Backend Test Report</w:t>
      </w:r>
    </w:p>
    <w:p>
      <w:pPr>
        <w:pStyle w:val="Subtitle"/>
      </w:pPr>
      <w:r>
        <w:rPr>
          <w:rFonts w:ascii="Calibri" w:hAnsi="Calibri"/>
          <w:color w:val="475569"/>
          <w:sz w:val="26"/>
        </w:rPr>
        <w:t>Read-only final review of the Angular website, Django API, deployment endpoints, security boundaries, and release controls.</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90" w:type="dxa"/>
              <w:start w:w="120" w:type="dxa"/>
              <w:bottom w:w="90" w:type="dxa"/>
              <w:end w:w="120" w:type="dxa"/>
            </w:tcMar>
          </w:tcPr>
          <w:p>
            <w:r>
              <w:rPr>
                <w:rFonts w:ascii="Calibri" w:hAnsi="Calibri"/>
                <w:b/>
                <w:color w:val="1E40AF"/>
                <w:sz w:val="19"/>
              </w:rPr>
              <w:t>Audit date</w:t>
            </w:r>
          </w:p>
        </w:tc>
        <w:tc>
          <w:tcPr>
            <w:tcW w:type="dxa" w:w="7200"/>
            <w:vAlign w:val="center"/>
            <w:tcMar>
              <w:top w:w="90" w:type="dxa"/>
              <w:start w:w="120" w:type="dxa"/>
              <w:bottom w:w="90" w:type="dxa"/>
              <w:end w:w="120" w:type="dxa"/>
            </w:tcMar>
          </w:tcPr>
          <w:p>
            <w:r>
              <w:rPr>
                <w:rFonts w:ascii="Calibri" w:hAnsi="Calibri"/>
                <w:color w:val="0F172A"/>
                <w:sz w:val="19"/>
              </w:rPr>
              <w:t>31 July 2026</w:t>
            </w:r>
          </w:p>
        </w:tc>
      </w:tr>
      <w:tr>
        <w:tc>
          <w:tcPr>
            <w:tcW w:type="dxa" w:w="2160"/>
            <w:shd w:fill="E8EEF5"/>
            <w:vAlign w:val="center"/>
            <w:tcMar>
              <w:top w:w="90" w:type="dxa"/>
              <w:start w:w="120" w:type="dxa"/>
              <w:bottom w:w="90" w:type="dxa"/>
              <w:end w:w="120" w:type="dxa"/>
            </w:tcMar>
          </w:tcPr>
          <w:p>
            <w:r>
              <w:rPr>
                <w:rFonts w:ascii="Calibri" w:hAnsi="Calibri"/>
                <w:b/>
                <w:color w:val="1E40AF"/>
                <w:sz w:val="19"/>
              </w:rPr>
              <w:t>Scope</w:t>
            </w:r>
          </w:p>
        </w:tc>
        <w:tc>
          <w:tcPr>
            <w:tcW w:type="dxa" w:w="7200"/>
            <w:vAlign w:val="center"/>
            <w:tcMar>
              <w:top w:w="90" w:type="dxa"/>
              <w:start w:w="120" w:type="dxa"/>
              <w:bottom w:w="90" w:type="dxa"/>
              <w:end w:w="120" w:type="dxa"/>
            </w:tcMar>
          </w:tcPr>
          <w:p>
            <w:r>
              <w:rPr>
                <w:rFonts w:ascii="Calibri" w:hAnsi="Calibri"/>
                <w:color w:val="0F172A"/>
                <w:sz w:val="19"/>
              </w:rPr>
              <w:t>Website and backend only; mobile application excluded</w:t>
            </w:r>
          </w:p>
        </w:tc>
      </w:tr>
      <w:tr>
        <w:tc>
          <w:tcPr>
            <w:tcW w:type="dxa" w:w="2160"/>
            <w:shd w:fill="E8EEF5"/>
            <w:vAlign w:val="center"/>
            <w:tcMar>
              <w:top w:w="90" w:type="dxa"/>
              <w:start w:w="120" w:type="dxa"/>
              <w:bottom w:w="90" w:type="dxa"/>
              <w:end w:w="120" w:type="dxa"/>
            </w:tcMar>
          </w:tcPr>
          <w:p>
            <w:r>
              <w:rPr>
                <w:rFonts w:ascii="Calibri" w:hAnsi="Calibri"/>
                <w:b/>
                <w:color w:val="1E40AF"/>
                <w:sz w:val="19"/>
              </w:rPr>
              <w:t>Method</w:t>
            </w:r>
          </w:p>
        </w:tc>
        <w:tc>
          <w:tcPr>
            <w:tcW w:type="dxa" w:w="7200"/>
            <w:vAlign w:val="center"/>
            <w:tcMar>
              <w:top w:w="90" w:type="dxa"/>
              <w:start w:w="120" w:type="dxa"/>
              <w:bottom w:w="90" w:type="dxa"/>
              <w:end w:w="120" w:type="dxa"/>
            </w:tcMar>
          </w:tcPr>
          <w:p>
            <w:r>
              <w:rPr>
                <w:rFonts w:ascii="Calibri" w:hAnsi="Calibri"/>
                <w:color w:val="0F172A"/>
                <w:sz w:val="19"/>
              </w:rPr>
              <w:t>Automated checks, source inspection, local UI/API smoke tests, and deployed endpoint verification</w:t>
            </w:r>
          </w:p>
        </w:tc>
      </w:tr>
      <w:tr>
        <w:tc>
          <w:tcPr>
            <w:tcW w:type="dxa" w:w="2160"/>
            <w:shd w:fill="E8EEF5"/>
            <w:vAlign w:val="center"/>
            <w:tcMar>
              <w:top w:w="90" w:type="dxa"/>
              <w:start w:w="120" w:type="dxa"/>
              <w:bottom w:w="90" w:type="dxa"/>
              <w:end w:w="120" w:type="dxa"/>
            </w:tcMar>
          </w:tcPr>
          <w:p>
            <w:r>
              <w:rPr>
                <w:rFonts w:ascii="Calibri" w:hAnsi="Calibri"/>
                <w:b/>
                <w:color w:val="1E40AF"/>
                <w:sz w:val="19"/>
              </w:rPr>
              <w:t>Change policy</w:t>
            </w:r>
          </w:p>
        </w:tc>
        <w:tc>
          <w:tcPr>
            <w:tcW w:type="dxa" w:w="7200"/>
            <w:vAlign w:val="center"/>
            <w:tcMar>
              <w:top w:w="90" w:type="dxa"/>
              <w:start w:w="120" w:type="dxa"/>
              <w:bottom w:w="90" w:type="dxa"/>
              <w:end w:w="120" w:type="dxa"/>
            </w:tcMar>
          </w:tcPr>
          <w:p>
            <w:r>
              <w:rPr>
                <w:rFonts w:ascii="Calibri" w:hAnsi="Calibri"/>
                <w:color w:val="0F172A"/>
                <w:sz w:val="19"/>
              </w:rPr>
              <w:t>No application code, database, environment file, or Git changes were made</w:t>
            </w:r>
          </w:p>
        </w:tc>
      </w:tr>
      <w:tr>
        <w:tc>
          <w:tcPr>
            <w:tcW w:type="dxa" w:w="2160"/>
            <w:shd w:fill="E8EEF5"/>
            <w:vAlign w:val="center"/>
            <w:tcMar>
              <w:top w:w="90" w:type="dxa"/>
              <w:start w:w="120" w:type="dxa"/>
              <w:bottom w:w="90" w:type="dxa"/>
              <w:end w:w="120" w:type="dxa"/>
            </w:tcMar>
          </w:tcPr>
          <w:p>
            <w:r>
              <w:rPr>
                <w:rFonts w:ascii="Calibri" w:hAnsi="Calibri"/>
                <w:b/>
                <w:color w:val="1E40AF"/>
                <w:sz w:val="19"/>
              </w:rPr>
              <w:t>Decision</w:t>
            </w:r>
          </w:p>
        </w:tc>
        <w:tc>
          <w:tcPr>
            <w:tcW w:type="dxa" w:w="7200"/>
            <w:vAlign w:val="center"/>
            <w:tcMar>
              <w:top w:w="90" w:type="dxa"/>
              <w:start w:w="120" w:type="dxa"/>
              <w:bottom w:w="90" w:type="dxa"/>
              <w:end w:w="120" w:type="dxa"/>
            </w:tcMar>
          </w:tcPr>
          <w:p>
            <w:r>
              <w:rPr>
                <w:rFonts w:ascii="Calibri" w:hAnsi="Calibri"/>
                <w:color w:val="0F172A"/>
                <w:sz w:val="19"/>
              </w:rPr>
              <w:t>Not ready for final production promotion until the blocking findings are resolved and retested</w:t>
            </w:r>
          </w:p>
        </w:tc>
      </w:tr>
    </w:tbl>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vAlign w:val="center"/>
            <w:tcMar>
              <w:top w:w="90" w:type="dxa"/>
              <w:start w:w="120" w:type="dxa"/>
              <w:bottom w:w="90" w:type="dxa"/>
              <w:end w:w="120" w:type="dxa"/>
            </w:tcMar>
          </w:tcPr>
          <w:p>
            <w:pPr>
              <w:spacing w:after="60"/>
            </w:pPr>
            <w:r>
              <w:rPr>
                <w:rFonts w:ascii="Calibri" w:hAnsi="Calibri"/>
                <w:b/>
                <w:color w:val="991B1B"/>
                <w:sz w:val="21"/>
              </w:rPr>
              <w:t>Executive decision: conditional NO-GO</w:t>
            </w:r>
          </w:p>
          <w:p>
            <w:pPr>
              <w:spacing w:after="0"/>
            </w:pPr>
            <w:r>
              <w:rPr>
                <w:rFonts w:ascii="Calibri" w:hAnsi="Calibri"/>
                <w:color w:val="0F172A"/>
                <w:sz w:val="20"/>
              </w:rPr>
              <w:t>The application compiles, core authorization boundaries behave correctly, 78 of 79 backend tests pass, and all three deployed public endpoints are reachable. Final production approval is withheld because two database migrations are unapplied, the Google-sign-in legal-version test fails, and the frontend has no automated unit-test coverage. These are correctable release gates, not evidence that the product is broadly broken.</w:t>
            </w:r>
          </w:p>
        </w:tc>
      </w:tr>
    </w:tbl>
    <w:p>
      <w:pPr>
        <w:spacing w:after="20"/>
      </w:pPr>
    </w:p>
    <w:p>
      <w:pPr>
        <w:pStyle w:val="Heading1"/>
      </w:pPr>
      <w:r>
        <w:t>1. Scope, constraints, and confidence</w:t>
      </w:r>
    </w:p>
    <w:p>
      <w:r>
        <w:t>This audit covers the Angular web frontend, Django REST backend, public landing and legal pages, professional and client portal routing, internal Admin Portal boundaries, local runtime health, deployed endpoint availability, CORS behavior, and a high-confidence secret-pattern scan. It does not inspect the Flutter application and does not open or read any real environment file or secret store.</w:t>
      </w:r>
    </w:p>
    <w:p>
      <w:pPr>
        <w:pStyle w:val="ListBullet"/>
      </w:pPr>
      <w:r>
        <w:t>Authenticated end-to-end UI workflows were not executed with user credentials in the audit browser. Protected-route behavior and backend role/ownership behavior were verified through route guards and automated tests.</w:t>
      </w:r>
    </w:p>
    <w:p>
      <w:pPr>
        <w:pStyle w:val="ListBullet"/>
      </w:pPr>
      <w:r>
        <w:t>Razorpay charging, webhooks, refunds, disputes, and subscription lifecycle were not executed because real/test payment credentials and external financial actions were outside this read-only test.</w:t>
      </w:r>
    </w:p>
    <w:p>
      <w:pPr>
        <w:pStyle w:val="ListBullet"/>
      </w:pPr>
      <w:r>
        <w:t>A source review and test suite are strong release evidence, but they do not replace a penetration test, legal review, accessibility audit by assistive-technology users, or a production backup restore drill.</w:t>
      </w:r>
    </w:p>
    <w:p>
      <w:pPr>
        <w:pStyle w:val="Heading1"/>
      </w:pPr>
      <w:r>
        <w:t>2. Test results at a glance</w:t>
      </w:r>
    </w:p>
    <w:tbl>
      <w:tblPr>
        <w:tblStyle w:val="TableGrid"/>
        <w:tblW w:type="dxa" w:w="9360"/>
        <w:jc w:val="left"/>
        <w:tblLayout w:type="fixed"/>
        <w:tblLook w:firstColumn="1" w:firstRow="1" w:lastColumn="0" w:lastRow="0" w:noHBand="0" w:noVBand="1" w:val="04A0"/>
        <w:tblInd w:w="120" w:type="dxa"/>
      </w:tblPr>
      <w:tblGrid>
        <w:gridCol w:w="1450"/>
        <w:gridCol w:w="1250"/>
        <w:gridCol w:w="3340"/>
        <w:gridCol w:w="3320"/>
      </w:tblGrid>
      <w:tr>
        <w:trPr>
          <w:tblHeader w:val="true"/>
        </w:trPr>
        <w:tc>
          <w:tcPr>
            <w:tcW w:type="dxa" w:w="1450"/>
            <w:shd w:fill="E8EEF5"/>
            <w:vAlign w:val="center"/>
            <w:tcMar>
              <w:top w:w="90" w:type="dxa"/>
              <w:start w:w="120" w:type="dxa"/>
              <w:bottom w:w="90" w:type="dxa"/>
              <w:end w:w="120" w:type="dxa"/>
            </w:tcMar>
          </w:tcPr>
          <w:p>
            <w:r>
              <w:rPr>
                <w:rFonts w:ascii="Calibri" w:hAnsi="Calibri"/>
                <w:b/>
                <w:color w:val="1E40AF"/>
                <w:sz w:val="18"/>
              </w:rPr>
              <w:t>Area</w:t>
            </w:r>
          </w:p>
        </w:tc>
        <w:tc>
          <w:tcPr>
            <w:tcW w:type="dxa" w:w="1250"/>
            <w:shd w:fill="E8EEF5"/>
            <w:vAlign w:val="center"/>
            <w:tcMar>
              <w:top w:w="90" w:type="dxa"/>
              <w:start w:w="120" w:type="dxa"/>
              <w:bottom w:w="90" w:type="dxa"/>
              <w:end w:w="120" w:type="dxa"/>
            </w:tcMar>
          </w:tcPr>
          <w:p>
            <w:r>
              <w:rPr>
                <w:rFonts w:ascii="Calibri" w:hAnsi="Calibri"/>
                <w:b/>
                <w:color w:val="1E40AF"/>
                <w:sz w:val="18"/>
              </w:rPr>
              <w:t>Result</w:t>
            </w:r>
          </w:p>
        </w:tc>
        <w:tc>
          <w:tcPr>
            <w:tcW w:type="dxa" w:w="3340"/>
            <w:shd w:fill="E8EEF5"/>
            <w:vAlign w:val="center"/>
            <w:tcMar>
              <w:top w:w="90" w:type="dxa"/>
              <w:start w:w="120" w:type="dxa"/>
              <w:bottom w:w="90" w:type="dxa"/>
              <w:end w:w="120" w:type="dxa"/>
            </w:tcMar>
          </w:tcPr>
          <w:p>
            <w:r>
              <w:rPr>
                <w:rFonts w:ascii="Calibri" w:hAnsi="Calibri"/>
                <w:b/>
                <w:color w:val="1E40AF"/>
                <w:sz w:val="18"/>
              </w:rPr>
              <w:t>Evidence</w:t>
            </w:r>
          </w:p>
        </w:tc>
        <w:tc>
          <w:tcPr>
            <w:tcW w:type="dxa" w:w="3320"/>
            <w:shd w:fill="E8EEF5"/>
            <w:vAlign w:val="center"/>
            <w:tcMar>
              <w:top w:w="90" w:type="dxa"/>
              <w:start w:w="120" w:type="dxa"/>
              <w:bottom w:w="90" w:type="dxa"/>
              <w:end w:w="120" w:type="dxa"/>
            </w:tcMar>
          </w:tcPr>
          <w:p>
            <w:r>
              <w:rPr>
                <w:rFonts w:ascii="Calibri" w:hAnsi="Calibri"/>
                <w:b/>
                <w:color w:val="1E40AF"/>
                <w:sz w:val="18"/>
              </w:rPr>
              <w:t>Release meaning</w:t>
            </w:r>
          </w:p>
        </w:tc>
      </w:tr>
      <w:tr>
        <w:tc>
          <w:tcPr>
            <w:tcW w:type="dxa" w:w="1450"/>
            <w:vAlign w:val="center"/>
            <w:tcMar>
              <w:top w:w="90" w:type="dxa"/>
              <w:start w:w="120" w:type="dxa"/>
              <w:bottom w:w="90" w:type="dxa"/>
              <w:end w:w="120" w:type="dxa"/>
            </w:tcMar>
          </w:tcPr>
          <w:p>
            <w:r>
              <w:rPr>
                <w:rFonts w:ascii="Calibri" w:hAnsi="Calibri"/>
                <w:b w:val="0"/>
                <w:color w:val="0F172A"/>
                <w:sz w:val="17"/>
              </w:rPr>
              <w:t>Django configuration</w:t>
            </w:r>
          </w:p>
        </w:tc>
        <w:tc>
          <w:tcPr>
            <w:tcW w:type="dxa" w:w="1250"/>
            <w:vAlign w:val="center"/>
            <w:tcMar>
              <w:top w:w="90" w:type="dxa"/>
              <w:start w:w="120" w:type="dxa"/>
              <w:bottom w:w="90" w:type="dxa"/>
              <w:end w:w="120" w:type="dxa"/>
            </w:tcMar>
            <w:shd w:fill="EAF7EF"/>
          </w:tcPr>
          <w:p>
            <w:r>
              <w:rPr>
                <w:rFonts w:ascii="Calibri" w:hAnsi="Calibri"/>
                <w:b/>
                <w:color w:val="0F172A"/>
                <w:sz w:val="17"/>
              </w:rPr>
              <w:t>PASS</w:t>
            </w:r>
          </w:p>
        </w:tc>
        <w:tc>
          <w:tcPr>
            <w:tcW w:type="dxa" w:w="3340"/>
            <w:vAlign w:val="center"/>
            <w:tcMar>
              <w:top w:w="90" w:type="dxa"/>
              <w:start w:w="120" w:type="dxa"/>
              <w:bottom w:w="90" w:type="dxa"/>
              <w:end w:w="120" w:type="dxa"/>
            </w:tcMar>
          </w:tcPr>
          <w:p>
            <w:r>
              <w:rPr>
                <w:rFonts w:ascii="Calibri" w:hAnsi="Calibri"/>
                <w:b w:val="0"/>
                <w:color w:val="0F172A"/>
                <w:sz w:val="17"/>
              </w:rPr>
              <w:t>manage.py check returned 0 issues.</w:t>
            </w:r>
          </w:p>
        </w:tc>
        <w:tc>
          <w:tcPr>
            <w:tcW w:type="dxa" w:w="3320"/>
            <w:vAlign w:val="center"/>
            <w:tcMar>
              <w:top w:w="90" w:type="dxa"/>
              <w:start w:w="120" w:type="dxa"/>
              <w:bottom w:w="90" w:type="dxa"/>
              <w:end w:w="120" w:type="dxa"/>
            </w:tcMar>
          </w:tcPr>
          <w:p>
            <w:r>
              <w:rPr>
                <w:rFonts w:ascii="Calibri" w:hAnsi="Calibri"/>
                <w:b w:val="0"/>
                <w:color w:val="0F172A"/>
                <w:sz w:val="17"/>
              </w:rPr>
              <w:t>Application configuration loads successfully in the local test environment.</w:t>
            </w:r>
          </w:p>
        </w:tc>
      </w:tr>
      <w:tr>
        <w:tc>
          <w:tcPr>
            <w:tcW w:type="dxa" w:w="1450"/>
            <w:vAlign w:val="center"/>
            <w:tcMar>
              <w:top w:w="90" w:type="dxa"/>
              <w:start w:w="120" w:type="dxa"/>
              <w:bottom w:w="90" w:type="dxa"/>
              <w:end w:w="120" w:type="dxa"/>
            </w:tcMar>
          </w:tcPr>
          <w:p>
            <w:r>
              <w:rPr>
                <w:rFonts w:ascii="Calibri" w:hAnsi="Calibri"/>
                <w:b w:val="0"/>
                <w:color w:val="0F172A"/>
                <w:sz w:val="17"/>
              </w:rPr>
              <w:t>Model drift</w:t>
            </w:r>
          </w:p>
        </w:tc>
        <w:tc>
          <w:tcPr>
            <w:tcW w:type="dxa" w:w="1250"/>
            <w:vAlign w:val="center"/>
            <w:tcMar>
              <w:top w:w="90" w:type="dxa"/>
              <w:start w:w="120" w:type="dxa"/>
              <w:bottom w:w="90" w:type="dxa"/>
              <w:end w:w="120" w:type="dxa"/>
            </w:tcMar>
            <w:shd w:fill="EAF7EF"/>
          </w:tcPr>
          <w:p>
            <w:r>
              <w:rPr>
                <w:rFonts w:ascii="Calibri" w:hAnsi="Calibri"/>
                <w:b/>
                <w:color w:val="0F172A"/>
                <w:sz w:val="17"/>
              </w:rPr>
              <w:t>PASS</w:t>
            </w:r>
          </w:p>
        </w:tc>
        <w:tc>
          <w:tcPr>
            <w:tcW w:type="dxa" w:w="3340"/>
            <w:vAlign w:val="center"/>
            <w:tcMar>
              <w:top w:w="90" w:type="dxa"/>
              <w:start w:w="120" w:type="dxa"/>
              <w:bottom w:w="90" w:type="dxa"/>
              <w:end w:w="120" w:type="dxa"/>
            </w:tcMar>
          </w:tcPr>
          <w:p>
            <w:r>
              <w:rPr>
                <w:rFonts w:ascii="Calibri" w:hAnsi="Calibri"/>
                <w:b w:val="0"/>
                <w:color w:val="0F172A"/>
                <w:sz w:val="17"/>
              </w:rPr>
              <w:t>makemigrations --check --dry-run reported no changes.</w:t>
            </w:r>
          </w:p>
        </w:tc>
        <w:tc>
          <w:tcPr>
            <w:tcW w:type="dxa" w:w="3320"/>
            <w:vAlign w:val="center"/>
            <w:tcMar>
              <w:top w:w="90" w:type="dxa"/>
              <w:start w:w="120" w:type="dxa"/>
              <w:bottom w:w="90" w:type="dxa"/>
              <w:end w:w="120" w:type="dxa"/>
            </w:tcMar>
          </w:tcPr>
          <w:p>
            <w:r>
              <w:rPr>
                <w:rFonts w:ascii="Calibri" w:hAnsi="Calibri"/>
                <w:b w:val="0"/>
                <w:color w:val="0F172A"/>
                <w:sz w:val="17"/>
              </w:rPr>
              <w:t>Models and migration files are synchronized.</w:t>
            </w:r>
          </w:p>
        </w:tc>
      </w:tr>
      <w:tr>
        <w:tc>
          <w:tcPr>
            <w:tcW w:type="dxa" w:w="1450"/>
            <w:vAlign w:val="center"/>
            <w:tcMar>
              <w:top w:w="90" w:type="dxa"/>
              <w:start w:w="120" w:type="dxa"/>
              <w:bottom w:w="90" w:type="dxa"/>
              <w:end w:w="120" w:type="dxa"/>
            </w:tcMar>
          </w:tcPr>
          <w:p>
            <w:r>
              <w:rPr>
                <w:rFonts w:ascii="Calibri" w:hAnsi="Calibri"/>
                <w:b w:val="0"/>
                <w:color w:val="0F172A"/>
                <w:sz w:val="17"/>
              </w:rPr>
              <w:t>Database migration state</w:t>
            </w:r>
          </w:p>
        </w:tc>
        <w:tc>
          <w:tcPr>
            <w:tcW w:type="dxa" w:w="1250"/>
            <w:vAlign w:val="center"/>
            <w:tcMar>
              <w:top w:w="90" w:type="dxa"/>
              <w:start w:w="120" w:type="dxa"/>
              <w:bottom w:w="90" w:type="dxa"/>
              <w:end w:w="120" w:type="dxa"/>
            </w:tcMar>
            <w:shd w:fill="FDECEC"/>
          </w:tcPr>
          <w:p>
            <w:r>
              <w:rPr>
                <w:rFonts w:ascii="Calibri" w:hAnsi="Calibri"/>
                <w:b/>
                <w:color w:val="0F172A"/>
                <w:sz w:val="17"/>
              </w:rPr>
              <w:t>BLOCK</w:t>
            </w:r>
          </w:p>
        </w:tc>
        <w:tc>
          <w:tcPr>
            <w:tcW w:type="dxa" w:w="3340"/>
            <w:vAlign w:val="center"/>
            <w:tcMar>
              <w:top w:w="90" w:type="dxa"/>
              <w:start w:w="120" w:type="dxa"/>
              <w:bottom w:w="90" w:type="dxa"/>
              <w:end w:w="120" w:type="dxa"/>
            </w:tcMar>
          </w:tcPr>
          <w:p>
            <w:r>
              <w:rPr>
                <w:rFonts w:ascii="Calibri" w:hAnsi="Calibri"/>
                <w:b w:val="0"/>
                <w:color w:val="0F172A"/>
                <w:sz w:val="17"/>
              </w:rPr>
              <w:t>migrate --check exited non-zero; accounts 0039 and 0040 are unapplied.</w:t>
            </w:r>
          </w:p>
        </w:tc>
        <w:tc>
          <w:tcPr>
            <w:tcW w:type="dxa" w:w="3320"/>
            <w:vAlign w:val="center"/>
            <w:tcMar>
              <w:top w:w="90" w:type="dxa"/>
              <w:start w:w="120" w:type="dxa"/>
              <w:bottom w:w="90" w:type="dxa"/>
              <w:end w:w="120" w:type="dxa"/>
            </w:tcMar>
          </w:tcPr>
          <w:p>
            <w:r>
              <w:rPr>
                <w:rFonts w:ascii="Calibri" w:hAnsi="Calibri"/>
                <w:b w:val="0"/>
                <w:color w:val="0F172A"/>
                <w:sz w:val="17"/>
              </w:rPr>
              <w:t>Current local database schema is behind the code and must be migrated before final testing/deployment.</w:t>
            </w:r>
          </w:p>
        </w:tc>
      </w:tr>
      <w:tr>
        <w:tc>
          <w:tcPr>
            <w:tcW w:type="dxa" w:w="1450"/>
            <w:vAlign w:val="center"/>
            <w:tcMar>
              <w:top w:w="90" w:type="dxa"/>
              <w:start w:w="120" w:type="dxa"/>
              <w:bottom w:w="90" w:type="dxa"/>
              <w:end w:w="120" w:type="dxa"/>
            </w:tcMar>
          </w:tcPr>
          <w:p>
            <w:r>
              <w:rPr>
                <w:rFonts w:ascii="Calibri" w:hAnsi="Calibri"/>
                <w:b w:val="0"/>
                <w:color w:val="0F172A"/>
                <w:sz w:val="17"/>
              </w:rPr>
              <w:t>Backend tests</w:t>
            </w:r>
          </w:p>
        </w:tc>
        <w:tc>
          <w:tcPr>
            <w:tcW w:type="dxa" w:w="1250"/>
            <w:vAlign w:val="center"/>
            <w:tcMar>
              <w:top w:w="90" w:type="dxa"/>
              <w:start w:w="120" w:type="dxa"/>
              <w:bottom w:w="90" w:type="dxa"/>
              <w:end w:w="120" w:type="dxa"/>
            </w:tcMar>
            <w:shd w:fill="FDECEC"/>
          </w:tcPr>
          <w:p>
            <w:r>
              <w:rPr>
                <w:rFonts w:ascii="Calibri" w:hAnsi="Calibri"/>
                <w:b/>
                <w:color w:val="0F172A"/>
                <w:sz w:val="17"/>
              </w:rPr>
              <w:t>FAIL 1/79</w:t>
            </w:r>
          </w:p>
        </w:tc>
        <w:tc>
          <w:tcPr>
            <w:tcW w:type="dxa" w:w="3340"/>
            <w:vAlign w:val="center"/>
            <w:tcMar>
              <w:top w:w="90" w:type="dxa"/>
              <w:start w:w="120" w:type="dxa"/>
              <w:bottom w:w="90" w:type="dxa"/>
              <w:end w:w="120" w:type="dxa"/>
            </w:tcMar>
          </w:tcPr>
          <w:p>
            <w:r>
              <w:rPr>
                <w:rFonts w:ascii="Calibri" w:hAnsi="Calibri"/>
                <w:b w:val="0"/>
                <w:color w:val="0F172A"/>
                <w:sz w:val="17"/>
              </w:rPr>
              <w:t>78 passed; Google new-user account test expected legal version 2026-07-30 but received 2026-08-15.</w:t>
            </w:r>
          </w:p>
        </w:tc>
        <w:tc>
          <w:tcPr>
            <w:tcW w:type="dxa" w:w="3320"/>
            <w:vAlign w:val="center"/>
            <w:tcMar>
              <w:top w:w="90" w:type="dxa"/>
              <w:start w:w="120" w:type="dxa"/>
              <w:bottom w:w="90" w:type="dxa"/>
              <w:end w:w="120" w:type="dxa"/>
            </w:tcMar>
          </w:tcPr>
          <w:p>
            <w:r>
              <w:rPr>
                <w:rFonts w:ascii="Calibri" w:hAnsi="Calibri"/>
                <w:b w:val="0"/>
                <w:color w:val="0F172A"/>
                <w:sz w:val="17"/>
              </w:rPr>
              <w:t>Legal-version source of truth is inconsistent and can break consent evidence expectations.</w:t>
            </w:r>
          </w:p>
        </w:tc>
      </w:tr>
      <w:tr>
        <w:tc>
          <w:tcPr>
            <w:tcW w:type="dxa" w:w="1450"/>
            <w:vAlign w:val="center"/>
            <w:tcMar>
              <w:top w:w="90" w:type="dxa"/>
              <w:start w:w="120" w:type="dxa"/>
              <w:bottom w:w="90" w:type="dxa"/>
              <w:end w:w="120" w:type="dxa"/>
            </w:tcMar>
          </w:tcPr>
          <w:p>
            <w:r>
              <w:rPr>
                <w:rFonts w:ascii="Calibri" w:hAnsi="Calibri"/>
                <w:b w:val="0"/>
                <w:color w:val="0F172A"/>
                <w:sz w:val="17"/>
              </w:rPr>
              <w:t>Angular production build</w:t>
            </w:r>
          </w:p>
        </w:tc>
        <w:tc>
          <w:tcPr>
            <w:tcW w:type="dxa" w:w="1250"/>
            <w:vAlign w:val="center"/>
            <w:tcMar>
              <w:top w:w="90" w:type="dxa"/>
              <w:start w:w="120" w:type="dxa"/>
              <w:bottom w:w="90" w:type="dxa"/>
              <w:end w:w="120" w:type="dxa"/>
            </w:tcMar>
            <w:shd w:fill="EAF7EF"/>
          </w:tcPr>
          <w:p>
            <w:r>
              <w:rPr>
                <w:rFonts w:ascii="Calibri" w:hAnsi="Calibri"/>
                <w:b/>
                <w:color w:val="0F172A"/>
                <w:sz w:val="17"/>
              </w:rPr>
              <w:t>PASS + warning</w:t>
            </w:r>
          </w:p>
        </w:tc>
        <w:tc>
          <w:tcPr>
            <w:tcW w:type="dxa" w:w="3340"/>
            <w:vAlign w:val="center"/>
            <w:tcMar>
              <w:top w:w="90" w:type="dxa"/>
              <w:start w:w="120" w:type="dxa"/>
              <w:bottom w:w="90" w:type="dxa"/>
              <w:end w:w="120" w:type="dxa"/>
            </w:tcMar>
          </w:tcPr>
          <w:p>
            <w:r>
              <w:rPr>
                <w:rFonts w:ascii="Calibri" w:hAnsi="Calibri"/>
                <w:b w:val="0"/>
                <w:color w:val="0F172A"/>
                <w:sz w:val="17"/>
              </w:rPr>
              <w:t>Build succeeded; account-settings SCSS exceeds its 20 kB budget by 532 bytes.</w:t>
            </w:r>
          </w:p>
        </w:tc>
        <w:tc>
          <w:tcPr>
            <w:tcW w:type="dxa" w:w="3320"/>
            <w:vAlign w:val="center"/>
            <w:tcMar>
              <w:top w:w="90" w:type="dxa"/>
              <w:start w:w="120" w:type="dxa"/>
              <w:bottom w:w="90" w:type="dxa"/>
              <w:end w:w="120" w:type="dxa"/>
            </w:tcMar>
          </w:tcPr>
          <w:p>
            <w:r>
              <w:rPr>
                <w:rFonts w:ascii="Calibri" w:hAnsi="Calibri"/>
                <w:b w:val="0"/>
                <w:color w:val="0F172A"/>
                <w:sz w:val="17"/>
              </w:rPr>
              <w:t>Deployable bundle exists; small maintainability/performance warning remains.</w:t>
            </w:r>
          </w:p>
        </w:tc>
      </w:tr>
      <w:tr>
        <w:tc>
          <w:tcPr>
            <w:tcW w:type="dxa" w:w="1450"/>
            <w:vAlign w:val="center"/>
            <w:tcMar>
              <w:top w:w="90" w:type="dxa"/>
              <w:start w:w="120" w:type="dxa"/>
              <w:bottom w:w="90" w:type="dxa"/>
              <w:end w:w="120" w:type="dxa"/>
            </w:tcMar>
          </w:tcPr>
          <w:p>
            <w:r>
              <w:rPr>
                <w:rFonts w:ascii="Calibri" w:hAnsi="Calibri"/>
                <w:b w:val="0"/>
                <w:color w:val="0F172A"/>
                <w:sz w:val="17"/>
              </w:rPr>
              <w:t>Frontend unit tests</w:t>
            </w:r>
          </w:p>
        </w:tc>
        <w:tc>
          <w:tcPr>
            <w:tcW w:type="dxa" w:w="1250"/>
            <w:vAlign w:val="center"/>
            <w:tcMar>
              <w:top w:w="90" w:type="dxa"/>
              <w:start w:w="120" w:type="dxa"/>
              <w:bottom w:w="90" w:type="dxa"/>
              <w:end w:w="120" w:type="dxa"/>
            </w:tcMar>
            <w:shd w:fill="FFF7E0"/>
          </w:tcPr>
          <w:p>
            <w:r>
              <w:rPr>
                <w:rFonts w:ascii="Calibri" w:hAnsi="Calibri"/>
                <w:b/>
                <w:color w:val="0F172A"/>
                <w:sz w:val="17"/>
              </w:rPr>
              <w:t>NOT AVAILABLE</w:t>
            </w:r>
          </w:p>
        </w:tc>
        <w:tc>
          <w:tcPr>
            <w:tcW w:type="dxa" w:w="3340"/>
            <w:vAlign w:val="center"/>
            <w:tcMar>
              <w:top w:w="90" w:type="dxa"/>
              <w:start w:w="120" w:type="dxa"/>
              <w:bottom w:w="90" w:type="dxa"/>
              <w:end w:w="120" w:type="dxa"/>
            </w:tcMar>
          </w:tcPr>
          <w:p>
            <w:r>
              <w:rPr>
                <w:rFonts w:ascii="Calibri" w:hAnsi="Calibri"/>
                <w:b w:val="0"/>
                <w:color w:val="0F172A"/>
                <w:sz w:val="17"/>
              </w:rPr>
              <w:t>No *.spec.ts files were found; the configured test command has no usable automated suite.</w:t>
            </w:r>
          </w:p>
        </w:tc>
        <w:tc>
          <w:tcPr>
            <w:tcW w:type="dxa" w:w="3320"/>
            <w:vAlign w:val="center"/>
            <w:tcMar>
              <w:top w:w="90" w:type="dxa"/>
              <w:start w:w="120" w:type="dxa"/>
              <w:bottom w:w="90" w:type="dxa"/>
              <w:end w:w="120" w:type="dxa"/>
            </w:tcMar>
          </w:tcPr>
          <w:p>
            <w:r>
              <w:rPr>
                <w:rFonts w:ascii="Calibri" w:hAnsi="Calibri"/>
                <w:b w:val="0"/>
                <w:color w:val="0F172A"/>
                <w:sz w:val="17"/>
              </w:rPr>
              <w:t>UI regressions depend on manual testing.</w:t>
            </w:r>
          </w:p>
        </w:tc>
      </w:tr>
      <w:tr>
        <w:tc>
          <w:tcPr>
            <w:tcW w:type="dxa" w:w="1450"/>
            <w:vAlign w:val="center"/>
            <w:tcMar>
              <w:top w:w="90" w:type="dxa"/>
              <w:start w:w="120" w:type="dxa"/>
              <w:bottom w:w="90" w:type="dxa"/>
              <w:end w:w="120" w:type="dxa"/>
            </w:tcMar>
          </w:tcPr>
          <w:p>
            <w:r>
              <w:rPr>
                <w:rFonts w:ascii="Calibri" w:hAnsi="Calibri"/>
                <w:b w:val="0"/>
                <w:color w:val="0F172A"/>
                <w:sz w:val="17"/>
              </w:rPr>
              <w:t>Local API health</w:t>
            </w:r>
          </w:p>
        </w:tc>
        <w:tc>
          <w:tcPr>
            <w:tcW w:type="dxa" w:w="1250"/>
            <w:vAlign w:val="center"/>
            <w:tcMar>
              <w:top w:w="90" w:type="dxa"/>
              <w:start w:w="120" w:type="dxa"/>
              <w:bottom w:w="90" w:type="dxa"/>
              <w:end w:w="120" w:type="dxa"/>
            </w:tcMar>
            <w:shd w:fill="EAF7EF"/>
          </w:tcPr>
          <w:p>
            <w:r>
              <w:rPr>
                <w:rFonts w:ascii="Calibri" w:hAnsi="Calibri"/>
                <w:b/>
                <w:color w:val="0F172A"/>
                <w:sz w:val="17"/>
              </w:rPr>
              <w:t>PASS</w:t>
            </w:r>
          </w:p>
        </w:tc>
        <w:tc>
          <w:tcPr>
            <w:tcW w:type="dxa" w:w="3340"/>
            <w:vAlign w:val="center"/>
            <w:tcMar>
              <w:top w:w="90" w:type="dxa"/>
              <w:start w:w="120" w:type="dxa"/>
              <w:bottom w:w="90" w:type="dxa"/>
              <w:end w:w="120" w:type="dxa"/>
            </w:tcMar>
          </w:tcPr>
          <w:p>
            <w:r>
              <w:rPr>
                <w:rFonts w:ascii="Calibri" w:hAnsi="Calibri"/>
                <w:b w:val="0"/>
                <w:color w:val="0F172A"/>
                <w:sz w:val="17"/>
              </w:rPr>
              <w:t>GET /api/health/ returned 200 {status: ok}.</w:t>
            </w:r>
          </w:p>
        </w:tc>
        <w:tc>
          <w:tcPr>
            <w:tcW w:type="dxa" w:w="3320"/>
            <w:vAlign w:val="center"/>
            <w:tcMar>
              <w:top w:w="90" w:type="dxa"/>
              <w:start w:w="120" w:type="dxa"/>
              <w:bottom w:w="90" w:type="dxa"/>
              <w:end w:w="120" w:type="dxa"/>
            </w:tcMar>
          </w:tcPr>
          <w:p>
            <w:r>
              <w:rPr>
                <w:rFonts w:ascii="Calibri" w:hAnsi="Calibri"/>
                <w:b w:val="0"/>
                <w:color w:val="0F172A"/>
                <w:sz w:val="17"/>
              </w:rPr>
              <w:t>Local backend is available.</w:t>
            </w:r>
          </w:p>
        </w:tc>
      </w:tr>
      <w:tr>
        <w:tc>
          <w:tcPr>
            <w:tcW w:type="dxa" w:w="1450"/>
            <w:vAlign w:val="center"/>
            <w:tcMar>
              <w:top w:w="90" w:type="dxa"/>
              <w:start w:w="120" w:type="dxa"/>
              <w:bottom w:w="90" w:type="dxa"/>
              <w:end w:w="120" w:type="dxa"/>
            </w:tcMar>
          </w:tcPr>
          <w:p>
            <w:r>
              <w:rPr>
                <w:rFonts w:ascii="Calibri" w:hAnsi="Calibri"/>
                <w:b w:val="0"/>
                <w:color w:val="0F172A"/>
                <w:sz w:val="17"/>
              </w:rPr>
              <w:t>Deployed endpoints</w:t>
            </w:r>
          </w:p>
        </w:tc>
        <w:tc>
          <w:tcPr>
            <w:tcW w:type="dxa" w:w="1250"/>
            <w:vAlign w:val="center"/>
            <w:tcMar>
              <w:top w:w="90" w:type="dxa"/>
              <w:start w:w="120" w:type="dxa"/>
              <w:bottom w:w="90" w:type="dxa"/>
              <w:end w:w="120" w:type="dxa"/>
            </w:tcMar>
            <w:shd w:fill="EAF7EF"/>
          </w:tcPr>
          <w:p>
            <w:r>
              <w:rPr>
                <w:rFonts w:ascii="Calibri" w:hAnsi="Calibri"/>
                <w:b/>
                <w:color w:val="0F172A"/>
                <w:sz w:val="17"/>
              </w:rPr>
              <w:t>PASS</w:t>
            </w:r>
          </w:p>
        </w:tc>
        <w:tc>
          <w:tcPr>
            <w:tcW w:type="dxa" w:w="3340"/>
            <w:vAlign w:val="center"/>
            <w:tcMar>
              <w:top w:w="90" w:type="dxa"/>
              <w:start w:w="120" w:type="dxa"/>
              <w:bottom w:w="90" w:type="dxa"/>
              <w:end w:w="120" w:type="dxa"/>
            </w:tcMar>
          </w:tcPr>
          <w:p>
            <w:r>
              <w:rPr>
                <w:rFonts w:ascii="Calibri" w:hAnsi="Calibri"/>
                <w:b w:val="0"/>
                <w:color w:val="0F172A"/>
                <w:sz w:val="17"/>
              </w:rPr>
              <w:t>rep-root.com, studio.rep-root.com/portal, and api.rep-root.com/api/health/ returned HTTPS 200.</w:t>
            </w:r>
          </w:p>
        </w:tc>
        <w:tc>
          <w:tcPr>
            <w:tcW w:type="dxa" w:w="3320"/>
            <w:vAlign w:val="center"/>
            <w:tcMar>
              <w:top w:w="90" w:type="dxa"/>
              <w:start w:w="120" w:type="dxa"/>
              <w:bottom w:w="90" w:type="dxa"/>
              <w:end w:w="120" w:type="dxa"/>
            </w:tcMar>
          </w:tcPr>
          <w:p>
            <w:r>
              <w:rPr>
                <w:rFonts w:ascii="Calibri" w:hAnsi="Calibri"/>
                <w:b w:val="0"/>
                <w:color w:val="0F172A"/>
                <w:sz w:val="17"/>
              </w:rPr>
              <w:t>Public routing and API health are currently reachable.</w:t>
            </w:r>
          </w:p>
        </w:tc>
      </w:tr>
      <w:tr>
        <w:tc>
          <w:tcPr>
            <w:tcW w:type="dxa" w:w="1450"/>
            <w:vAlign w:val="center"/>
            <w:tcMar>
              <w:top w:w="90" w:type="dxa"/>
              <w:start w:w="120" w:type="dxa"/>
              <w:bottom w:w="90" w:type="dxa"/>
              <w:end w:w="120" w:type="dxa"/>
            </w:tcMar>
          </w:tcPr>
          <w:p>
            <w:r>
              <w:rPr>
                <w:rFonts w:ascii="Calibri" w:hAnsi="Calibri"/>
                <w:b w:val="0"/>
                <w:color w:val="0F172A"/>
                <w:sz w:val="17"/>
              </w:rPr>
              <w:t>Protected APIs</w:t>
            </w:r>
          </w:p>
        </w:tc>
        <w:tc>
          <w:tcPr>
            <w:tcW w:type="dxa" w:w="1250"/>
            <w:vAlign w:val="center"/>
            <w:tcMar>
              <w:top w:w="90" w:type="dxa"/>
              <w:start w:w="120" w:type="dxa"/>
              <w:bottom w:w="90" w:type="dxa"/>
              <w:end w:w="120" w:type="dxa"/>
            </w:tcMar>
            <w:shd w:fill="EAF7EF"/>
          </w:tcPr>
          <w:p>
            <w:r>
              <w:rPr>
                <w:rFonts w:ascii="Calibri" w:hAnsi="Calibri"/>
                <w:b/>
                <w:color w:val="0F172A"/>
                <w:sz w:val="17"/>
              </w:rPr>
              <w:t>PASS</w:t>
            </w:r>
          </w:p>
        </w:tc>
        <w:tc>
          <w:tcPr>
            <w:tcW w:type="dxa" w:w="3340"/>
            <w:vAlign w:val="center"/>
            <w:tcMar>
              <w:top w:w="90" w:type="dxa"/>
              <w:start w:w="120" w:type="dxa"/>
              <w:bottom w:w="90" w:type="dxa"/>
              <w:end w:w="120" w:type="dxa"/>
            </w:tcMar>
          </w:tcPr>
          <w:p>
            <w:r>
              <w:rPr>
                <w:rFonts w:ascii="Calibri" w:hAnsi="Calibri"/>
                <w:b w:val="0"/>
                <w:color w:val="0F172A"/>
                <w:sz w:val="17"/>
              </w:rPr>
              <w:t>Client, professional, and admin protected endpoints returned 401 without credentials.</w:t>
            </w:r>
          </w:p>
        </w:tc>
        <w:tc>
          <w:tcPr>
            <w:tcW w:type="dxa" w:w="3320"/>
            <w:vAlign w:val="center"/>
            <w:tcMar>
              <w:top w:w="90" w:type="dxa"/>
              <w:start w:w="120" w:type="dxa"/>
              <w:bottom w:w="90" w:type="dxa"/>
              <w:end w:w="120" w:type="dxa"/>
            </w:tcMar>
          </w:tcPr>
          <w:p>
            <w:r>
              <w:rPr>
                <w:rFonts w:ascii="Calibri" w:hAnsi="Calibri"/>
                <w:b w:val="0"/>
                <w:color w:val="0F172A"/>
                <w:sz w:val="17"/>
              </w:rPr>
              <w:t>Unauthenticated access is rejected.</w:t>
            </w:r>
          </w:p>
        </w:tc>
      </w:tr>
      <w:tr>
        <w:tc>
          <w:tcPr>
            <w:tcW w:type="dxa" w:w="1450"/>
            <w:vAlign w:val="center"/>
            <w:tcMar>
              <w:top w:w="90" w:type="dxa"/>
              <w:start w:w="120" w:type="dxa"/>
              <w:bottom w:w="90" w:type="dxa"/>
              <w:end w:w="120" w:type="dxa"/>
            </w:tcMar>
          </w:tcPr>
          <w:p>
            <w:r>
              <w:rPr>
                <w:rFonts w:ascii="Calibri" w:hAnsi="Calibri"/>
                <w:b w:val="0"/>
                <w:color w:val="0F172A"/>
                <w:sz w:val="17"/>
              </w:rPr>
              <w:t>CORS</w:t>
            </w:r>
          </w:p>
        </w:tc>
        <w:tc>
          <w:tcPr>
            <w:tcW w:type="dxa" w:w="1250"/>
            <w:vAlign w:val="center"/>
            <w:tcMar>
              <w:top w:w="90" w:type="dxa"/>
              <w:start w:w="120" w:type="dxa"/>
              <w:bottom w:w="90" w:type="dxa"/>
              <w:end w:w="120" w:type="dxa"/>
            </w:tcMar>
            <w:shd w:fill="EAF7EF"/>
          </w:tcPr>
          <w:p>
            <w:r>
              <w:rPr>
                <w:rFonts w:ascii="Calibri" w:hAnsi="Calibri"/>
                <w:b/>
                <w:color w:val="0F172A"/>
                <w:sz w:val="17"/>
              </w:rPr>
              <w:t>PASS</w:t>
            </w:r>
          </w:p>
        </w:tc>
        <w:tc>
          <w:tcPr>
            <w:tcW w:type="dxa" w:w="3340"/>
            <w:vAlign w:val="center"/>
            <w:tcMar>
              <w:top w:w="90" w:type="dxa"/>
              <w:start w:w="120" w:type="dxa"/>
              <w:bottom w:w="90" w:type="dxa"/>
              <w:end w:w="120" w:type="dxa"/>
            </w:tcMar>
          </w:tcPr>
          <w:p>
            <w:r>
              <w:rPr>
                <w:rFonts w:ascii="Calibri" w:hAnsi="Calibri"/>
                <w:b w:val="0"/>
                <w:color w:val="0F172A"/>
                <w:sz w:val="17"/>
              </w:rPr>
              <w:t>Studio origin was allowed; an unrelated origin received no allow-origin grant.</w:t>
            </w:r>
          </w:p>
        </w:tc>
        <w:tc>
          <w:tcPr>
            <w:tcW w:type="dxa" w:w="3320"/>
            <w:vAlign w:val="center"/>
            <w:tcMar>
              <w:top w:w="90" w:type="dxa"/>
              <w:start w:w="120" w:type="dxa"/>
              <w:bottom w:w="90" w:type="dxa"/>
              <w:end w:w="120" w:type="dxa"/>
            </w:tcMar>
          </w:tcPr>
          <w:p>
            <w:r>
              <w:rPr>
                <w:rFonts w:ascii="Calibri" w:hAnsi="Calibri"/>
                <w:b w:val="0"/>
                <w:color w:val="0F172A"/>
                <w:sz w:val="17"/>
              </w:rPr>
              <w:t>Browser-origin boundary behaves as intended.</w:t>
            </w:r>
          </w:p>
        </w:tc>
      </w:tr>
      <w:tr>
        <w:tc>
          <w:tcPr>
            <w:tcW w:type="dxa" w:w="1450"/>
            <w:vAlign w:val="center"/>
            <w:tcMar>
              <w:top w:w="90" w:type="dxa"/>
              <w:start w:w="120" w:type="dxa"/>
              <w:bottom w:w="90" w:type="dxa"/>
              <w:end w:w="120" w:type="dxa"/>
            </w:tcMar>
          </w:tcPr>
          <w:p>
            <w:r>
              <w:rPr>
                <w:rFonts w:ascii="Calibri" w:hAnsi="Calibri"/>
                <w:b w:val="0"/>
                <w:color w:val="0F172A"/>
                <w:sz w:val="17"/>
              </w:rPr>
              <w:t>Secret-pattern scan</w:t>
            </w:r>
          </w:p>
        </w:tc>
        <w:tc>
          <w:tcPr>
            <w:tcW w:type="dxa" w:w="1250"/>
            <w:vAlign w:val="center"/>
            <w:tcMar>
              <w:top w:w="90" w:type="dxa"/>
              <w:start w:w="120" w:type="dxa"/>
              <w:bottom w:w="90" w:type="dxa"/>
              <w:end w:w="120" w:type="dxa"/>
            </w:tcMar>
            <w:shd w:fill="EAF7EF"/>
          </w:tcPr>
          <w:p>
            <w:r>
              <w:rPr>
                <w:rFonts w:ascii="Calibri" w:hAnsi="Calibri"/>
                <w:b/>
                <w:color w:val="0F172A"/>
                <w:sz w:val="17"/>
              </w:rPr>
              <w:t>PASS (scoped)</w:t>
            </w:r>
          </w:p>
        </w:tc>
        <w:tc>
          <w:tcPr>
            <w:tcW w:type="dxa" w:w="3340"/>
            <w:vAlign w:val="center"/>
            <w:tcMar>
              <w:top w:w="90" w:type="dxa"/>
              <w:start w:w="120" w:type="dxa"/>
              <w:bottom w:w="90" w:type="dxa"/>
              <w:end w:w="120" w:type="dxa"/>
            </w:tcMar>
          </w:tcPr>
          <w:p>
            <w:r>
              <w:rPr>
                <w:rFonts w:ascii="Calibri" w:hAnsi="Calibri"/>
                <w:b w:val="0"/>
                <w:color w:val="0F172A"/>
                <w:sz w:val="17"/>
              </w:rPr>
              <w:t>No high-confidence AWS, Razorpay, Stripe, or private-key value pattern was found in application source.</w:t>
            </w:r>
          </w:p>
        </w:tc>
        <w:tc>
          <w:tcPr>
            <w:tcW w:type="dxa" w:w="3320"/>
            <w:vAlign w:val="center"/>
            <w:tcMar>
              <w:top w:w="90" w:type="dxa"/>
              <w:start w:w="120" w:type="dxa"/>
              <w:bottom w:w="90" w:type="dxa"/>
              <w:end w:w="120" w:type="dxa"/>
            </w:tcMar>
          </w:tcPr>
          <w:p>
            <w:r>
              <w:rPr>
                <w:rFonts w:ascii="Calibri" w:hAnsi="Calibri"/>
                <w:b w:val="0"/>
                <w:color w:val="0F172A"/>
                <w:sz w:val="17"/>
              </w:rPr>
              <w:t>No obvious committed credential was detected in the reviewed source scope.</w:t>
            </w:r>
          </w:p>
        </w:tc>
      </w:tr>
      <w:tr>
        <w:tc>
          <w:tcPr>
            <w:tcW w:type="dxa" w:w="1450"/>
            <w:vAlign w:val="center"/>
            <w:tcMar>
              <w:top w:w="90" w:type="dxa"/>
              <w:start w:w="120" w:type="dxa"/>
              <w:bottom w:w="90" w:type="dxa"/>
              <w:end w:w="120" w:type="dxa"/>
            </w:tcMar>
          </w:tcPr>
          <w:p>
            <w:r>
              <w:rPr>
                <w:rFonts w:ascii="Calibri" w:hAnsi="Calibri"/>
                <w:b w:val="0"/>
                <w:color w:val="0F172A"/>
                <w:sz w:val="17"/>
              </w:rPr>
              <w:t>Static frontend headers</w:t>
            </w:r>
          </w:p>
        </w:tc>
        <w:tc>
          <w:tcPr>
            <w:tcW w:type="dxa" w:w="1250"/>
            <w:vAlign w:val="center"/>
            <w:tcMar>
              <w:top w:w="90" w:type="dxa"/>
              <w:start w:w="120" w:type="dxa"/>
              <w:bottom w:w="90" w:type="dxa"/>
              <w:end w:w="120" w:type="dxa"/>
            </w:tcMar>
            <w:shd w:fill="FFF7E0"/>
          </w:tcPr>
          <w:p>
            <w:r>
              <w:rPr>
                <w:rFonts w:ascii="Calibri" w:hAnsi="Calibri"/>
                <w:b/>
                <w:color w:val="0F172A"/>
                <w:sz w:val="17"/>
              </w:rPr>
              <w:t>HARDEN</w:t>
            </w:r>
          </w:p>
        </w:tc>
        <w:tc>
          <w:tcPr>
            <w:tcW w:type="dxa" w:w="3340"/>
            <w:vAlign w:val="center"/>
            <w:tcMar>
              <w:top w:w="90" w:type="dxa"/>
              <w:start w:w="120" w:type="dxa"/>
              <w:bottom w:w="90" w:type="dxa"/>
              <w:end w:w="120" w:type="dxa"/>
            </w:tcMar>
          </w:tcPr>
          <w:p>
            <w:r>
              <w:rPr>
                <w:rFonts w:ascii="Calibri" w:hAnsi="Calibri"/>
                <w:b w:val="0"/>
                <w:color w:val="0F172A"/>
                <w:sz w:val="17"/>
              </w:rPr>
              <w:t>Live static responses include nosniff but not CSP, HSTS, X-Frame-Options, or Referrer-Policy.</w:t>
            </w:r>
          </w:p>
        </w:tc>
        <w:tc>
          <w:tcPr>
            <w:tcW w:type="dxa" w:w="3320"/>
            <w:vAlign w:val="center"/>
            <w:tcMar>
              <w:top w:w="90" w:type="dxa"/>
              <w:start w:w="120" w:type="dxa"/>
              <w:bottom w:w="90" w:type="dxa"/>
              <w:end w:w="120" w:type="dxa"/>
            </w:tcMar>
          </w:tcPr>
          <w:p>
            <w:r>
              <w:rPr>
                <w:rFonts w:ascii="Calibri" w:hAnsi="Calibri"/>
                <w:b w:val="0"/>
                <w:color w:val="0F172A"/>
                <w:sz w:val="17"/>
              </w:rPr>
              <w:t>Add or confirm equivalent protection at the CDN/static host before production approval.</w:t>
            </w:r>
          </w:p>
        </w:tc>
      </w:tr>
    </w:tbl>
    <w:p>
      <w:pPr>
        <w:pStyle w:val="Heading1"/>
      </w:pPr>
      <w:r>
        <w:t>3. Blocking findings</w:t>
      </w:r>
    </w:p>
    <w:p>
      <w:pPr>
        <w:pStyle w:val="Heading2"/>
      </w:pPr>
      <w:r>
        <w:t>3.1 Unapplied database migrations</w:t>
      </w:r>
    </w:p>
    <w:p>
      <w:r>
        <w:t>The database reports accounts migrations 0039_alter_paymentrequest_status and 0040_alter_paymentauditlog_action as unapplied. Both touch the payment domain, where status vocabulary and audit actions are used by current UI and tests.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vAlign w:val="center"/>
            <w:tcMar>
              <w:top w:w="90" w:type="dxa"/>
              <w:start w:w="120" w:type="dxa"/>
              <w:bottom w:w="90" w:type="dxa"/>
              <w:end w:w="120" w:type="dxa"/>
            </w:tcMar>
          </w:tcPr>
          <w:p>
            <w:pPr>
              <w:spacing w:after="60"/>
            </w:pPr>
            <w:r>
              <w:rPr>
                <w:rFonts w:ascii="Calibri" w:hAnsi="Calibri"/>
                <w:b/>
                <w:color w:val="991B1B"/>
                <w:sz w:val="21"/>
              </w:rPr>
              <w:t>Required action</w:t>
            </w:r>
          </w:p>
          <w:p>
            <w:pPr>
              <w:spacing w:after="0"/>
            </w:pPr>
            <w:r>
              <w:rPr>
                <w:rFonts w:ascii="Calibri" w:hAnsi="Calibri"/>
                <w:color w:val="0F172A"/>
                <w:sz w:val="20"/>
              </w:rPr>
              <w:t>Apply the migrations in the intended test/staging database using the normal deployment migration step, then run migrate --check again. Back up the database first in any shared environment. Do not mark the release ready until the command exits successfully.</w:t>
            </w:r>
          </w:p>
        </w:tc>
      </w:tr>
    </w:tbl>
    <w:p>
      <w:pPr>
        <w:spacing w:after="20"/>
      </w:pPr>
    </w:p>
    <w:p>
      <w:pPr>
        <w:pStyle w:val="Heading2"/>
      </w:pPr>
      <w:r>
        <w:t>3.2 Google sign-in legal-version mismatch</w:t>
      </w:r>
    </w:p>
    <w:p>
      <w:r>
        <w:t>The new-Google-user test expects legal document version 2026-07-30, but the current account-creation path records 2026-08-15. The failure indicates more than stale test text: consent evidence must use one authoritative release version across settings, signup, Google authentication, stored acceptance records, legal pages, and enforcement commands.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vAlign w:val="center"/>
            <w:tcMar>
              <w:top w:w="90" w:type="dxa"/>
              <w:start w:w="120" w:type="dxa"/>
              <w:bottom w:w="90" w:type="dxa"/>
              <w:end w:w="120" w:type="dxa"/>
            </w:tcMar>
          </w:tcPr>
          <w:p>
            <w:pPr>
              <w:spacing w:after="60"/>
            </w:pPr>
            <w:r>
              <w:rPr>
                <w:rFonts w:ascii="Calibri" w:hAnsi="Calibri"/>
                <w:b/>
                <w:color w:val="991B1B"/>
                <w:sz w:val="21"/>
              </w:rPr>
              <w:t>Required action</w:t>
            </w:r>
          </w:p>
          <w:p>
            <w:pPr>
              <w:spacing w:after="0"/>
            </w:pPr>
            <w:r>
              <w:rPr>
                <w:rFonts w:ascii="Calibri" w:hAnsi="Calibri"/>
                <w:color w:val="0F172A"/>
                <w:sz w:val="20"/>
              </w:rPr>
              <w:t>Choose the intended active legal release version, align all code/configuration/tests to it, publish the matching legal text, and rerun the entire backend suite. Do not silently change the test without confirming the legal-document release date.</w:t>
            </w:r>
          </w:p>
        </w:tc>
      </w:tr>
    </w:tbl>
    <w:p>
      <w:pPr>
        <w:spacing w:after="20"/>
      </w:pPr>
    </w:p>
    <w:p>
      <w:pPr>
        <w:pStyle w:val="Heading2"/>
      </w:pPr>
      <w:r>
        <w:t>3.3 No frontend automated test suite</w:t>
      </w:r>
    </w:p>
    <w:p>
      <w:r>
        <w:t>The frontend builds successfully, but no Angular specification files are present. Complex workflows—notifications, payment installments, legal consent, scheduling, route guards, forms, and role-specific views—therefore lack repeatable browser/unit regression coverage.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0"/>
            <w:vAlign w:val="center"/>
            <w:tcMar>
              <w:top w:w="90" w:type="dxa"/>
              <w:start w:w="120" w:type="dxa"/>
              <w:bottom w:w="90" w:type="dxa"/>
              <w:end w:w="120" w:type="dxa"/>
            </w:tcMar>
          </w:tcPr>
          <w:p>
            <w:pPr>
              <w:spacing w:after="60"/>
            </w:pPr>
            <w:r>
              <w:rPr>
                <w:rFonts w:ascii="Calibri" w:hAnsi="Calibri"/>
                <w:b/>
                <w:color w:val="926200"/>
                <w:sz w:val="21"/>
              </w:rPr>
              <w:t>Required action before mature production</w:t>
            </w:r>
          </w:p>
          <w:p>
            <w:pPr>
              <w:spacing w:after="0"/>
            </w:pPr>
            <w:r>
              <w:rPr>
                <w:rFonts w:ascii="Calibri" w:hAnsi="Calibri"/>
                <w:color w:val="0F172A"/>
                <w:sz w:val="20"/>
              </w:rPr>
              <w:t>Create a minimum regression suite for authentication guards, legal consent routing, professional directory search, forms/groups, payment status transitions, meeting requests, notification unread/clear behavior, and role-specific navigation. Manual test evidence is acceptable for a controlled pilot, but not as the only long-term control.</w:t>
            </w:r>
          </w:p>
        </w:tc>
      </w:tr>
    </w:tbl>
    <w:p>
      <w:pPr>
        <w:spacing w:after="20"/>
      </w:pPr>
    </w:p>
    <w:p>
      <w:pPr>
        <w:pStyle w:val="Heading1"/>
      </w:pPr>
      <w:r>
        <w:t>4. UI and route review</w:t>
      </w:r>
    </w:p>
    <w:p>
      <w:pPr>
        <w:pStyle w:val="Heading2"/>
      </w:pPr>
      <w:r>
        <w:t>4.1 Public surfaces verified</w:t>
      </w:r>
    </w:p>
    <w:p>
      <w:pPr>
        <w:pStyle w:val="ListBullet"/>
      </w:pPr>
      <w:r>
        <w:t>Main RepRoot marketing page renders its story, philosophy, vision, mission, values, RepRoot Studio overview, contact section, legal links, and Studio launch links.</w:t>
      </w:r>
    </w:p>
    <w:p>
      <w:pPr>
        <w:pStyle w:val="ListBullet"/>
      </w:pPr>
      <w:r>
        <w:t>RepRoot Studio product page renders its professional/client value proposition and launch action.</w:t>
      </w:r>
    </w:p>
    <w:p>
      <w:pPr>
        <w:pStyle w:val="ListBullet"/>
      </w:pPr>
      <w:r>
        <w:t>Portal chooser clearly separates Professional access from Client Portal access.</w:t>
      </w:r>
    </w:p>
    <w:p>
      <w:pPr>
        <w:pStyle w:val="ListBullet"/>
      </w:pPr>
      <w:r>
        <w:t>Professional signup exposes username verification, email OTP, password requirements, Professional Terms/Privacy acceptance, and Google signup.</w:t>
      </w:r>
    </w:p>
    <w:p>
      <w:pPr>
        <w:pStyle w:val="ListBullet"/>
      </w:pPr>
      <w:r>
        <w:t>Client login requests Professional Code, username, and password and links the client-specific Terms and Privacy Notice.</w:t>
      </w:r>
    </w:p>
    <w:p>
      <w:pPr>
        <w:pStyle w:val="ListBullet"/>
      </w:pPr>
      <w:r>
        <w:t>Platform, professional, and client legal pages render as separate role-specific documents with regional notices.</w:t>
      </w:r>
    </w:p>
    <w:p>
      <w:pPr>
        <w:pStyle w:val="ListBullet"/>
      </w:pPr>
      <w:r>
        <w:t>Unknown routes render a branded 404 page with recovery actions.</w:t>
      </w:r>
    </w:p>
    <w:p>
      <w:pPr>
        <w:pStyle w:val="Heading2"/>
      </w:pPr>
      <w:r>
        <w:t>4.2 Guard behavior verified</w:t>
      </w:r>
    </w:p>
    <w:p>
      <w:r>
        <w:t>Unauthenticated professional routes redirect to Professional Login; client routes redirect to Client Login; the Admin Portal dashboard redirects to the isolated staff login. The tested set included dashboards, clients, forms/groups, templates, scheduling, settings, payments, meetings, profiles, and administration.</w:t>
      </w:r>
    </w:p>
    <w:p>
      <w:pPr>
        <w:pStyle w:val="Heading2"/>
      </w:pPr>
      <w:r>
        <w:t>4.3 UI concerns and documentation drift</w:t>
      </w:r>
    </w:p>
    <w:p>
      <w:pPr>
        <w:pStyle w:val="ListBullet"/>
      </w:pPr>
      <w:r>
        <w:t>The account-settings component stylesheet exceeds its Angular component budget by 532 bytes. This does not fail the build, but it signals a large component that should be split or deduplicated.</w:t>
      </w:r>
    </w:p>
    <w:p>
      <w:pPr>
        <w:pStyle w:val="ListBullet"/>
      </w:pPr>
      <w:r>
        <w:t>PRODUCT_RULES.md says only light/dark mode exists, while the public Studio page currently exposes Main, Dark, Wellness, Premium, and Gold selectors. The product rule and UI disagree.</w:t>
      </w:r>
    </w:p>
    <w:p>
      <w:pPr>
        <w:pStyle w:val="ListBullet"/>
      </w:pPr>
      <w:r>
        <w:t>BILLING_3TIER_PLAN.md contains older plan names, prices, storage values, and phase notes that conflict with more recent product decisions and backend behavior. It must not be used as current marketing copy.</w:t>
      </w:r>
    </w:p>
    <w:p>
      <w:pPr>
        <w:pStyle w:val="ListBullet"/>
      </w:pPr>
      <w:r>
        <w:t>Older diagnostic and mirrored documentation includes historical claims and test counts that are no longer current. Help and marketing content should use the new handbook as the audience-facing source, while technical decisions need one maintained internal source of truth.</w:t>
      </w:r>
    </w:p>
    <w:p>
      <w:pPr>
        <w:pStyle w:val="ListBullet"/>
      </w:pPr>
      <w:r>
        <w:t>The public marketing page uses sample operational metrics (for example lead/client counts and target completion) as illustration. Marketing must present these as examples, not verified customer outcomes.</w:t>
      </w:r>
    </w:p>
    <w:p>
      <w:pPr>
        <w:pStyle w:val="Heading1"/>
      </w:pPr>
      <w:r>
        <w:t>5. Backend and data-boundary review</w:t>
      </w:r>
    </w:p>
    <w:p>
      <w:pPr>
        <w:pStyle w:val="Heading2"/>
      </w:pPr>
      <w:r>
        <w:t>5.1 Positive controls</w:t>
      </w:r>
    </w:p>
    <w:p>
      <w:pPr>
        <w:pStyle w:val="ListBullet"/>
      </w:pPr>
      <w:r>
        <w:t>Local and deployed health endpoints respond successfully.</w:t>
      </w:r>
    </w:p>
    <w:p>
      <w:pPr>
        <w:pStyle w:val="ListBullet"/>
      </w:pPr>
      <w:r>
        <w:t>Unauthenticated client, professional, and admin API requests are rejected with 401.</w:t>
      </w:r>
    </w:p>
    <w:p>
      <w:pPr>
        <w:pStyle w:val="ListBullet"/>
      </w:pPr>
      <w:r>
        <w:t>The deployed API grants CORS access to https://studio.rep-root.com and does not grant it to an unrelated origin.</w:t>
      </w:r>
    </w:p>
    <w:p>
      <w:pPr>
        <w:pStyle w:val="ListBullet"/>
      </w:pPr>
      <w:r>
        <w:t>Automated tests cover client logout token revocation, cross-role admin denial, staff RBAC, immutable audit records, private payment visibility, notification destinations, payment proof validation, installment accumulation, mixed-currency behavior, and immutable payment ledgers.</w:t>
      </w:r>
    </w:p>
    <w:p>
      <w:pPr>
        <w:pStyle w:val="ListBullet"/>
      </w:pPr>
      <w:r>
        <w:t>Tests explicitly verify that client-facing payment previews do not leak private fields and that clients cannot see private manual payment records.</w:t>
      </w:r>
    </w:p>
    <w:p>
      <w:pPr>
        <w:pStyle w:val="ListBullet"/>
      </w:pPr>
      <w:r>
        <w:t>Public professional-directory logic does not match hidden usernames, and the UI requires at least three characters before searching.</w:t>
      </w:r>
    </w:p>
    <w:p>
      <w:pPr>
        <w:pStyle w:val="Heading2"/>
      </w:pPr>
      <w:r>
        <w:t>5.2 Production security header posture</w:t>
      </w:r>
    </w:p>
    <w:p>
      <w:r>
        <w:t>The deployed API sends HSTS (max-age 300), X-Frame-Options DENY, nosniff, and same-origin referrer policy. The static frontend sends nosniff but the inspected response did not include CSP, HSTS, frame protection, or referrer policy. Because users enter credentials on the frontend, the static host/CDN should also provide an intentional header policy.</w:t>
      </w:r>
    </w:p>
    <w:p>
      <w:pPr>
        <w:pStyle w:val="Heading2"/>
      </w:pPr>
      <w:r>
        <w:t>5.3 Local deploy-check warnings</w:t>
      </w:r>
    </w:p>
    <w:p>
      <w:r>
        <w:t>manage.py check --deploy reported expected local-development warnings for HSTS, SSL redirect, secret-key strength, secure session/CSRF cookies, and DEBUG. This audit did not read environment values. Run the same command inside the production deployment; production approval requires those warnings to be eliminated or intentionally enforced by a documented proxy/CDN control.</w:t>
      </w:r>
    </w:p>
    <w:p>
      <w:pPr>
        <w:pStyle w:val="Heading1"/>
      </w:pPr>
      <w:r>
        <w:t>6. Functional coverage by product area</w:t>
      </w:r>
    </w:p>
    <w:tbl>
      <w:tblPr>
        <w:tblStyle w:val="TableGrid"/>
        <w:tblW w:type="dxa" w:w="9360"/>
        <w:jc w:val="left"/>
        <w:tblLayout w:type="fixed"/>
        <w:tblLook w:firstColumn="1" w:firstRow="1" w:lastColumn="0" w:lastRow="0" w:noHBand="0" w:noVBand="1" w:val="04A0"/>
        <w:tblInd w:w="120" w:type="dxa"/>
      </w:tblPr>
      <w:tblGrid>
        <w:gridCol w:w="1650"/>
        <w:gridCol w:w="3400"/>
        <w:gridCol w:w="4310"/>
      </w:tblGrid>
      <w:tr>
        <w:trPr>
          <w:tblHeader w:val="true"/>
        </w:trPr>
        <w:tc>
          <w:tcPr>
            <w:tcW w:type="dxa" w:w="1650"/>
            <w:shd w:fill="E8EEF5"/>
            <w:vAlign w:val="center"/>
            <w:tcMar>
              <w:top w:w="90" w:type="dxa"/>
              <w:start w:w="120" w:type="dxa"/>
              <w:bottom w:w="90" w:type="dxa"/>
              <w:end w:w="120" w:type="dxa"/>
            </w:tcMar>
          </w:tcPr>
          <w:p>
            <w:r>
              <w:rPr>
                <w:rFonts w:ascii="Calibri" w:hAnsi="Calibri"/>
                <w:b/>
                <w:color w:val="1E40AF"/>
                <w:sz w:val="18"/>
              </w:rPr>
              <w:t>Product area</w:t>
            </w:r>
          </w:p>
        </w:tc>
        <w:tc>
          <w:tcPr>
            <w:tcW w:type="dxa" w:w="3400"/>
            <w:shd w:fill="E8EEF5"/>
            <w:vAlign w:val="center"/>
            <w:tcMar>
              <w:top w:w="90" w:type="dxa"/>
              <w:start w:w="120" w:type="dxa"/>
              <w:bottom w:w="90" w:type="dxa"/>
              <w:end w:w="120" w:type="dxa"/>
            </w:tcMar>
          </w:tcPr>
          <w:p>
            <w:r>
              <w:rPr>
                <w:rFonts w:ascii="Calibri" w:hAnsi="Calibri"/>
                <w:b/>
                <w:color w:val="1E40AF"/>
                <w:sz w:val="18"/>
              </w:rPr>
              <w:t>Evidence available</w:t>
            </w:r>
          </w:p>
        </w:tc>
        <w:tc>
          <w:tcPr>
            <w:tcW w:type="dxa" w:w="4310"/>
            <w:shd w:fill="E8EEF5"/>
            <w:vAlign w:val="center"/>
            <w:tcMar>
              <w:top w:w="90" w:type="dxa"/>
              <w:start w:w="120" w:type="dxa"/>
              <w:bottom w:w="90" w:type="dxa"/>
              <w:end w:w="120" w:type="dxa"/>
            </w:tcMar>
          </w:tcPr>
          <w:p>
            <w:r>
              <w:rPr>
                <w:rFonts w:ascii="Calibri" w:hAnsi="Calibri"/>
                <w:b/>
                <w:color w:val="1E40AF"/>
                <w:sz w:val="18"/>
              </w:rPr>
              <w:t>Still required manually</w:t>
            </w:r>
          </w:p>
        </w:tc>
      </w:tr>
      <w:tr>
        <w:tc>
          <w:tcPr>
            <w:tcW w:type="dxa" w:w="1650"/>
            <w:vAlign w:val="center"/>
            <w:tcMar>
              <w:top w:w="90" w:type="dxa"/>
              <w:start w:w="120" w:type="dxa"/>
              <w:bottom w:w="90" w:type="dxa"/>
              <w:end w:w="120" w:type="dxa"/>
            </w:tcMar>
          </w:tcPr>
          <w:p>
            <w:r>
              <w:rPr>
                <w:rFonts w:ascii="Calibri" w:hAnsi="Calibri"/>
                <w:color w:val="0F172A"/>
                <w:sz w:val="17"/>
              </w:rPr>
              <w:t>Authentication</w:t>
            </w:r>
          </w:p>
        </w:tc>
        <w:tc>
          <w:tcPr>
            <w:tcW w:type="dxa" w:w="3400"/>
            <w:vAlign w:val="center"/>
            <w:tcMar>
              <w:top w:w="90" w:type="dxa"/>
              <w:start w:w="120" w:type="dxa"/>
              <w:bottom w:w="90" w:type="dxa"/>
              <w:end w:w="120" w:type="dxa"/>
            </w:tcMar>
          </w:tcPr>
          <w:p>
            <w:r>
              <w:rPr>
                <w:rFonts w:ascii="Calibri" w:hAnsi="Calibri"/>
                <w:color w:val="0F172A"/>
                <w:sz w:val="17"/>
              </w:rPr>
              <w:t>Backend tests and public UI reviewed</w:t>
            </w:r>
          </w:p>
        </w:tc>
        <w:tc>
          <w:tcPr>
            <w:tcW w:type="dxa" w:w="4310"/>
            <w:vAlign w:val="center"/>
            <w:tcMar>
              <w:top w:w="90" w:type="dxa"/>
              <w:start w:w="120" w:type="dxa"/>
              <w:bottom w:w="90" w:type="dxa"/>
              <w:end w:w="120" w:type="dxa"/>
            </w:tcMar>
          </w:tcPr>
          <w:p>
            <w:r>
              <w:rPr>
                <w:rFonts w:ascii="Calibri" w:hAnsi="Calibri"/>
                <w:color w:val="0F172A"/>
                <w:sz w:val="17"/>
              </w:rPr>
              <w:t>Manual OTP delivery, real Google popup, recovery email, session expiry, and logout-all-devices still need deployed UAT.</w:t>
            </w:r>
          </w:p>
        </w:tc>
      </w:tr>
      <w:tr>
        <w:tc>
          <w:tcPr>
            <w:tcW w:type="dxa" w:w="1650"/>
            <w:vAlign w:val="center"/>
            <w:tcMar>
              <w:top w:w="90" w:type="dxa"/>
              <w:start w:w="120" w:type="dxa"/>
              <w:bottom w:w="90" w:type="dxa"/>
              <w:end w:w="120" w:type="dxa"/>
            </w:tcMar>
          </w:tcPr>
          <w:p>
            <w:r>
              <w:rPr>
                <w:rFonts w:ascii="Calibri" w:hAnsi="Calibri"/>
                <w:color w:val="0F172A"/>
                <w:sz w:val="17"/>
              </w:rPr>
              <w:t>Profiles and legal consent</w:t>
            </w:r>
          </w:p>
        </w:tc>
        <w:tc>
          <w:tcPr>
            <w:tcW w:type="dxa" w:w="3400"/>
            <w:vAlign w:val="center"/>
            <w:tcMar>
              <w:top w:w="90" w:type="dxa"/>
              <w:start w:w="120" w:type="dxa"/>
              <w:bottom w:w="90" w:type="dxa"/>
              <w:end w:w="120" w:type="dxa"/>
            </w:tcMar>
          </w:tcPr>
          <w:p>
            <w:r>
              <w:rPr>
                <w:rFonts w:ascii="Calibri" w:hAnsi="Calibri"/>
                <w:color w:val="0F172A"/>
                <w:sz w:val="17"/>
              </w:rPr>
              <w:t>Routes, models, legal pages, and acceptance tests reviewed</w:t>
            </w:r>
          </w:p>
        </w:tc>
        <w:tc>
          <w:tcPr>
            <w:tcW w:type="dxa" w:w="4310"/>
            <w:vAlign w:val="center"/>
            <w:tcMar>
              <w:top w:w="90" w:type="dxa"/>
              <w:start w:w="120" w:type="dxa"/>
              <w:bottom w:w="90" w:type="dxa"/>
              <w:end w:w="120" w:type="dxa"/>
            </w:tcMar>
          </w:tcPr>
          <w:p>
            <w:r>
              <w:rPr>
                <w:rFonts w:ascii="Calibri" w:hAnsi="Calibri"/>
                <w:color w:val="0F172A"/>
                <w:sz w:val="17"/>
              </w:rPr>
              <w:t>Resolve active legal version; verify photo upload and consent re-prompt on version change.</w:t>
            </w:r>
          </w:p>
        </w:tc>
      </w:tr>
      <w:tr>
        <w:tc>
          <w:tcPr>
            <w:tcW w:type="dxa" w:w="1650"/>
            <w:vAlign w:val="center"/>
            <w:tcMar>
              <w:top w:w="90" w:type="dxa"/>
              <w:start w:w="120" w:type="dxa"/>
              <w:bottom w:w="90" w:type="dxa"/>
              <w:end w:w="120" w:type="dxa"/>
            </w:tcMar>
          </w:tcPr>
          <w:p>
            <w:r>
              <w:rPr>
                <w:rFonts w:ascii="Calibri" w:hAnsi="Calibri"/>
                <w:color w:val="0F172A"/>
                <w:sz w:val="17"/>
              </w:rPr>
              <w:t>Forms and groups</w:t>
            </w:r>
          </w:p>
        </w:tc>
        <w:tc>
          <w:tcPr>
            <w:tcW w:type="dxa" w:w="3400"/>
            <w:vAlign w:val="center"/>
            <w:tcMar>
              <w:top w:w="90" w:type="dxa"/>
              <w:start w:w="120" w:type="dxa"/>
              <w:bottom w:w="90" w:type="dxa"/>
              <w:end w:w="120" w:type="dxa"/>
            </w:tcMar>
          </w:tcPr>
          <w:p>
            <w:r>
              <w:rPr>
                <w:rFonts w:ascii="Calibri" w:hAnsi="Calibri"/>
                <w:color w:val="0F172A"/>
                <w:sz w:val="17"/>
              </w:rPr>
              <w:t>Routes/models/UI inventory reviewed</w:t>
            </w:r>
          </w:p>
        </w:tc>
        <w:tc>
          <w:tcPr>
            <w:tcW w:type="dxa" w:w="4310"/>
            <w:vAlign w:val="center"/>
            <w:tcMar>
              <w:top w:w="90" w:type="dxa"/>
              <w:start w:w="120" w:type="dxa"/>
              <w:bottom w:w="90" w:type="dxa"/>
              <w:end w:w="120" w:type="dxa"/>
            </w:tcMar>
          </w:tcPr>
          <w:p>
            <w:r>
              <w:rPr>
                <w:rFonts w:ascii="Calibri" w:hAnsi="Calibri"/>
                <w:color w:val="0F172A"/>
                <w:sz w:val="17"/>
              </w:rPr>
              <w:t>Perform live create/edit/enable/share/submit/approve/decline tests with at least two forms and two groups.</w:t>
            </w:r>
          </w:p>
        </w:tc>
      </w:tr>
      <w:tr>
        <w:tc>
          <w:tcPr>
            <w:tcW w:type="dxa" w:w="1650"/>
            <w:vAlign w:val="center"/>
            <w:tcMar>
              <w:top w:w="90" w:type="dxa"/>
              <w:start w:w="120" w:type="dxa"/>
              <w:bottom w:w="90" w:type="dxa"/>
              <w:end w:w="120" w:type="dxa"/>
            </w:tcMar>
          </w:tcPr>
          <w:p>
            <w:r>
              <w:rPr>
                <w:rFonts w:ascii="Calibri" w:hAnsi="Calibri"/>
                <w:color w:val="0F172A"/>
                <w:sz w:val="17"/>
              </w:rPr>
              <w:t>Clients</w:t>
            </w:r>
          </w:p>
        </w:tc>
        <w:tc>
          <w:tcPr>
            <w:tcW w:type="dxa" w:w="3400"/>
            <w:vAlign w:val="center"/>
            <w:tcMar>
              <w:top w:w="90" w:type="dxa"/>
              <w:start w:w="120" w:type="dxa"/>
              <w:bottom w:w="90" w:type="dxa"/>
              <w:end w:w="120" w:type="dxa"/>
            </w:tcMar>
          </w:tcPr>
          <w:p>
            <w:r>
              <w:rPr>
                <w:rFonts w:ascii="Calibri" w:hAnsi="Calibri"/>
                <w:color w:val="0F172A"/>
                <w:sz w:val="17"/>
              </w:rPr>
              <w:t>Ownership/reset/deletion/export tests present</w:t>
            </w:r>
          </w:p>
        </w:tc>
        <w:tc>
          <w:tcPr>
            <w:tcW w:type="dxa" w:w="4310"/>
            <w:vAlign w:val="center"/>
            <w:tcMar>
              <w:top w:w="90" w:type="dxa"/>
              <w:start w:w="120" w:type="dxa"/>
              <w:bottom w:w="90" w:type="dxa"/>
              <w:end w:w="120" w:type="dxa"/>
            </w:tcMar>
          </w:tcPr>
          <w:p>
            <w:r>
              <w:rPr>
                <w:rFonts w:ascii="Calibri" w:hAnsi="Calibri"/>
                <w:color w:val="0F172A"/>
                <w:sz w:val="17"/>
              </w:rPr>
              <w:t>Verify manual creation, bulk import, portal access grant/revoke, and client-specific visibility in deployed UAT.</w:t>
            </w:r>
          </w:p>
        </w:tc>
      </w:tr>
      <w:tr>
        <w:tc>
          <w:tcPr>
            <w:tcW w:type="dxa" w:w="1650"/>
            <w:vAlign w:val="center"/>
            <w:tcMar>
              <w:top w:w="90" w:type="dxa"/>
              <w:start w:w="120" w:type="dxa"/>
              <w:bottom w:w="90" w:type="dxa"/>
              <w:end w:w="120" w:type="dxa"/>
            </w:tcMar>
          </w:tcPr>
          <w:p>
            <w:r>
              <w:rPr>
                <w:rFonts w:ascii="Calibri" w:hAnsi="Calibri"/>
                <w:color w:val="0F172A"/>
                <w:sz w:val="17"/>
              </w:rPr>
              <w:t>Templates and entries</w:t>
            </w:r>
          </w:p>
        </w:tc>
        <w:tc>
          <w:tcPr>
            <w:tcW w:type="dxa" w:w="3400"/>
            <w:vAlign w:val="center"/>
            <w:tcMar>
              <w:top w:w="90" w:type="dxa"/>
              <w:start w:w="120" w:type="dxa"/>
              <w:bottom w:w="90" w:type="dxa"/>
              <w:end w:w="120" w:type="dxa"/>
            </w:tcMar>
          </w:tcPr>
          <w:p>
            <w:r>
              <w:rPr>
                <w:rFonts w:ascii="Calibri" w:hAnsi="Calibri"/>
                <w:color w:val="0F172A"/>
                <w:sz w:val="17"/>
              </w:rPr>
              <w:t>Assignment, retention, upsert, and private-data tests present</w:t>
            </w:r>
          </w:p>
        </w:tc>
        <w:tc>
          <w:tcPr>
            <w:tcW w:type="dxa" w:w="4310"/>
            <w:vAlign w:val="center"/>
            <w:tcMar>
              <w:top w:w="90" w:type="dxa"/>
              <w:start w:w="120" w:type="dxa"/>
              <w:bottom w:w="90" w:type="dxa"/>
              <w:end w:w="120" w:type="dxa"/>
            </w:tcMar>
          </w:tcPr>
          <w:p>
            <w:r>
              <w:rPr>
                <w:rFonts w:ascii="Calibri" w:hAnsi="Calibri"/>
                <w:color w:val="0F172A"/>
                <w:sz w:val="17"/>
              </w:rPr>
              <w:t>Verify charts, same-day entry update, professional edit marker, file/resource sharing, and export views.</w:t>
            </w:r>
          </w:p>
        </w:tc>
      </w:tr>
      <w:tr>
        <w:tc>
          <w:tcPr>
            <w:tcW w:type="dxa" w:w="1650"/>
            <w:vAlign w:val="center"/>
            <w:tcMar>
              <w:top w:w="90" w:type="dxa"/>
              <w:start w:w="120" w:type="dxa"/>
              <w:bottom w:w="90" w:type="dxa"/>
              <w:end w:w="120" w:type="dxa"/>
            </w:tcMar>
          </w:tcPr>
          <w:p>
            <w:r>
              <w:rPr>
                <w:rFonts w:ascii="Calibri" w:hAnsi="Calibri"/>
                <w:color w:val="0F172A"/>
                <w:sz w:val="17"/>
              </w:rPr>
              <w:t>Resources</w:t>
            </w:r>
          </w:p>
        </w:tc>
        <w:tc>
          <w:tcPr>
            <w:tcW w:type="dxa" w:w="3400"/>
            <w:vAlign w:val="center"/>
            <w:tcMar>
              <w:top w:w="90" w:type="dxa"/>
              <w:start w:w="120" w:type="dxa"/>
              <w:bottom w:w="90" w:type="dxa"/>
              <w:end w:w="120" w:type="dxa"/>
            </w:tcMar>
          </w:tcPr>
          <w:p>
            <w:r>
              <w:rPr>
                <w:rFonts w:ascii="Calibri" w:hAnsi="Calibri"/>
                <w:color w:val="0F172A"/>
                <w:sz w:val="17"/>
              </w:rPr>
              <w:t>Ownership and plan-limit paths present</w:t>
            </w:r>
          </w:p>
        </w:tc>
        <w:tc>
          <w:tcPr>
            <w:tcW w:type="dxa" w:w="4310"/>
            <w:vAlign w:val="center"/>
            <w:tcMar>
              <w:top w:w="90" w:type="dxa"/>
              <w:start w:w="120" w:type="dxa"/>
              <w:bottom w:w="90" w:type="dxa"/>
              <w:end w:w="120" w:type="dxa"/>
            </w:tcMar>
          </w:tcPr>
          <w:p>
            <w:r>
              <w:rPr>
                <w:rFonts w:ascii="Calibri" w:hAnsi="Calibri"/>
                <w:color w:val="0F172A"/>
                <w:sz w:val="17"/>
              </w:rPr>
              <w:t>Verify image/PDF upload, YouTube display, category filters, client assignment, and S3 permissions.</w:t>
            </w:r>
          </w:p>
        </w:tc>
      </w:tr>
      <w:tr>
        <w:tc>
          <w:tcPr>
            <w:tcW w:type="dxa" w:w="1650"/>
            <w:vAlign w:val="center"/>
            <w:tcMar>
              <w:top w:w="90" w:type="dxa"/>
              <w:start w:w="120" w:type="dxa"/>
              <w:bottom w:w="90" w:type="dxa"/>
              <w:end w:w="120" w:type="dxa"/>
            </w:tcMar>
          </w:tcPr>
          <w:p>
            <w:r>
              <w:rPr>
                <w:rFonts w:ascii="Calibri" w:hAnsi="Calibri"/>
                <w:color w:val="0F172A"/>
                <w:sz w:val="17"/>
              </w:rPr>
              <w:t>Chat and notifications</w:t>
            </w:r>
          </w:p>
        </w:tc>
        <w:tc>
          <w:tcPr>
            <w:tcW w:type="dxa" w:w="3400"/>
            <w:vAlign w:val="center"/>
            <w:tcMar>
              <w:top w:w="90" w:type="dxa"/>
              <w:start w:w="120" w:type="dxa"/>
              <w:bottom w:w="90" w:type="dxa"/>
              <w:end w:w="120" w:type="dxa"/>
            </w:tcMar>
          </w:tcPr>
          <w:p>
            <w:r>
              <w:rPr>
                <w:rFonts w:ascii="Calibri" w:hAnsi="Calibri"/>
                <w:color w:val="0F172A"/>
                <w:sz w:val="17"/>
              </w:rPr>
              <w:t>Unread and mark-all behaviors tested</w:t>
            </w:r>
          </w:p>
        </w:tc>
        <w:tc>
          <w:tcPr>
            <w:tcW w:type="dxa" w:w="4310"/>
            <w:vAlign w:val="center"/>
            <w:tcMar>
              <w:top w:w="90" w:type="dxa"/>
              <w:start w:w="120" w:type="dxa"/>
              <w:bottom w:w="90" w:type="dxa"/>
              <w:end w:w="120" w:type="dxa"/>
            </w:tcMar>
          </w:tcPr>
          <w:p>
            <w:r>
              <w:rPr>
                <w:rFonts w:ascii="Calibri" w:hAnsi="Calibri"/>
                <w:color w:val="0F172A"/>
                <w:sz w:val="17"/>
              </w:rPr>
              <w:t>Verify five-second polling, deep links, badge partitioning, Clear All, Mark as Read, and mobile/responsive dropdown layout.</w:t>
            </w:r>
          </w:p>
        </w:tc>
      </w:tr>
      <w:tr>
        <w:tc>
          <w:tcPr>
            <w:tcW w:type="dxa" w:w="1650"/>
            <w:vAlign w:val="center"/>
            <w:tcMar>
              <w:top w:w="90" w:type="dxa"/>
              <w:start w:w="120" w:type="dxa"/>
              <w:bottom w:w="90" w:type="dxa"/>
              <w:end w:w="120" w:type="dxa"/>
            </w:tcMar>
          </w:tcPr>
          <w:p>
            <w:r>
              <w:rPr>
                <w:rFonts w:ascii="Calibri" w:hAnsi="Calibri"/>
                <w:color w:val="0F172A"/>
                <w:sz w:val="17"/>
              </w:rPr>
              <w:t>Scheduling</w:t>
            </w:r>
          </w:p>
        </w:tc>
        <w:tc>
          <w:tcPr>
            <w:tcW w:type="dxa" w:w="3400"/>
            <w:vAlign w:val="center"/>
            <w:tcMar>
              <w:top w:w="90" w:type="dxa"/>
              <w:start w:w="120" w:type="dxa"/>
              <w:bottom w:w="90" w:type="dxa"/>
              <w:end w:w="120" w:type="dxa"/>
            </w:tcMar>
          </w:tcPr>
          <w:p>
            <w:r>
              <w:rPr>
                <w:rFonts w:ascii="Calibri" w:hAnsi="Calibri"/>
                <w:color w:val="0F172A"/>
                <w:sz w:val="17"/>
              </w:rPr>
              <w:t>Availability overlap and request APIs tested</w:t>
            </w:r>
          </w:p>
        </w:tc>
        <w:tc>
          <w:tcPr>
            <w:tcW w:type="dxa" w:w="4310"/>
            <w:vAlign w:val="center"/>
            <w:tcMar>
              <w:top w:w="90" w:type="dxa"/>
              <w:start w:w="120" w:type="dxa"/>
              <w:bottom w:w="90" w:type="dxa"/>
              <w:end w:w="120" w:type="dxa"/>
            </w:tcMar>
          </w:tcPr>
          <w:p>
            <w:r>
              <w:rPr>
                <w:rFonts w:ascii="Calibri" w:hAnsi="Calibri"/>
                <w:color w:val="0F172A"/>
                <w:sz w:val="17"/>
              </w:rPr>
              <w:t>Verify timezone handling, no-availability copy, client request, professional accept/reject, reschedule, cancellation, calendar export, and meeting link.</w:t>
            </w:r>
          </w:p>
        </w:tc>
      </w:tr>
      <w:tr>
        <w:tc>
          <w:tcPr>
            <w:tcW w:type="dxa" w:w="1650"/>
            <w:vAlign w:val="center"/>
            <w:tcMar>
              <w:top w:w="90" w:type="dxa"/>
              <w:start w:w="120" w:type="dxa"/>
              <w:bottom w:w="90" w:type="dxa"/>
              <w:end w:w="120" w:type="dxa"/>
            </w:tcMar>
          </w:tcPr>
          <w:p>
            <w:r>
              <w:rPr>
                <w:rFonts w:ascii="Calibri" w:hAnsi="Calibri"/>
                <w:color w:val="0F172A"/>
                <w:sz w:val="17"/>
              </w:rPr>
              <w:t>Payments</w:t>
            </w:r>
          </w:p>
        </w:tc>
        <w:tc>
          <w:tcPr>
            <w:tcW w:type="dxa" w:w="3400"/>
            <w:vAlign w:val="center"/>
            <w:tcMar>
              <w:top w:w="90" w:type="dxa"/>
              <w:start w:w="120" w:type="dxa"/>
              <w:bottom w:w="90" w:type="dxa"/>
              <w:end w:w="120" w:type="dxa"/>
            </w:tcMar>
          </w:tcPr>
          <w:p>
            <w:r>
              <w:rPr>
                <w:rFonts w:ascii="Calibri" w:hAnsi="Calibri"/>
                <w:color w:val="0F172A"/>
                <w:sz w:val="17"/>
              </w:rPr>
              <w:t>Extensive request/proof/installment/audit tests present</w:t>
            </w:r>
          </w:p>
        </w:tc>
        <w:tc>
          <w:tcPr>
            <w:tcW w:type="dxa" w:w="4310"/>
            <w:vAlign w:val="center"/>
            <w:tcMar>
              <w:top w:w="90" w:type="dxa"/>
              <w:start w:w="120" w:type="dxa"/>
              <w:bottom w:w="90" w:type="dxa"/>
              <w:end w:w="120" w:type="dxa"/>
            </w:tcMar>
          </w:tcPr>
          <w:p>
            <w:r>
              <w:rPr>
                <w:rFonts w:ascii="Calibri" w:hAnsi="Calibri"/>
                <w:color w:val="0F172A"/>
                <w:sz w:val="17"/>
              </w:rPr>
              <w:t>Apply migrations; then test multiple proofs, partial/full/overpayment, rejection/resubmission, 14-day edit window, private manual logs, confirmation printing, and currency selection.</w:t>
            </w:r>
          </w:p>
        </w:tc>
      </w:tr>
      <w:tr>
        <w:tc>
          <w:tcPr>
            <w:tcW w:type="dxa" w:w="1650"/>
            <w:vAlign w:val="center"/>
            <w:tcMar>
              <w:top w:w="90" w:type="dxa"/>
              <w:start w:w="120" w:type="dxa"/>
              <w:bottom w:w="90" w:type="dxa"/>
              <w:end w:w="120" w:type="dxa"/>
            </w:tcMar>
          </w:tcPr>
          <w:p>
            <w:r>
              <w:rPr>
                <w:rFonts w:ascii="Calibri" w:hAnsi="Calibri"/>
                <w:color w:val="0F172A"/>
                <w:sz w:val="17"/>
              </w:rPr>
              <w:t>Membership billing</w:t>
            </w:r>
          </w:p>
        </w:tc>
        <w:tc>
          <w:tcPr>
            <w:tcW w:type="dxa" w:w="3400"/>
            <w:vAlign w:val="center"/>
            <w:tcMar>
              <w:top w:w="90" w:type="dxa"/>
              <w:start w:w="120" w:type="dxa"/>
              <w:bottom w:w="90" w:type="dxa"/>
              <w:end w:w="120" w:type="dxa"/>
            </w:tcMar>
          </w:tcPr>
          <w:p>
            <w:r>
              <w:rPr>
                <w:rFonts w:ascii="Calibri" w:hAnsi="Calibri"/>
                <w:color w:val="0F172A"/>
                <w:sz w:val="17"/>
              </w:rPr>
              <w:t>Code/routes exist</w:t>
            </w:r>
          </w:p>
        </w:tc>
        <w:tc>
          <w:tcPr>
            <w:tcW w:type="dxa" w:w="4310"/>
            <w:vAlign w:val="center"/>
            <w:tcMar>
              <w:top w:w="90" w:type="dxa"/>
              <w:start w:w="120" w:type="dxa"/>
              <w:bottom w:w="90" w:type="dxa"/>
              <w:end w:w="120" w:type="dxa"/>
            </w:tcMar>
          </w:tcPr>
          <w:p>
            <w:r>
              <w:rPr>
                <w:rFonts w:ascii="Calibri" w:hAnsi="Calibri"/>
                <w:color w:val="0F172A"/>
                <w:sz w:val="17"/>
              </w:rPr>
              <w:t>Razorpay checkout/webhook/refund/dispute/cancellation and plan downgrade remain mandatory external tests.</w:t>
            </w:r>
          </w:p>
        </w:tc>
      </w:tr>
      <w:tr>
        <w:tc>
          <w:tcPr>
            <w:tcW w:type="dxa" w:w="1650"/>
            <w:vAlign w:val="center"/>
            <w:tcMar>
              <w:top w:w="90" w:type="dxa"/>
              <w:start w:w="120" w:type="dxa"/>
              <w:bottom w:w="90" w:type="dxa"/>
              <w:end w:w="120" w:type="dxa"/>
            </w:tcMar>
          </w:tcPr>
          <w:p>
            <w:r>
              <w:rPr>
                <w:rFonts w:ascii="Calibri" w:hAnsi="Calibri"/>
                <w:color w:val="0F172A"/>
                <w:sz w:val="17"/>
              </w:rPr>
              <w:t>Admin Portal</w:t>
            </w:r>
          </w:p>
        </w:tc>
        <w:tc>
          <w:tcPr>
            <w:tcW w:type="dxa" w:w="3400"/>
            <w:vAlign w:val="center"/>
            <w:tcMar>
              <w:top w:w="90" w:type="dxa"/>
              <w:start w:w="120" w:type="dxa"/>
              <w:bottom w:w="90" w:type="dxa"/>
              <w:end w:w="120" w:type="dxa"/>
            </w:tcMar>
          </w:tcPr>
          <w:p>
            <w:r>
              <w:rPr>
                <w:rFonts w:ascii="Calibri" w:hAnsi="Calibri"/>
                <w:color w:val="0F172A"/>
                <w:sz w:val="17"/>
              </w:rPr>
              <w:t>RBAC and audit tests pass except overall suite legal-version failure</w:t>
            </w:r>
          </w:p>
        </w:tc>
        <w:tc>
          <w:tcPr>
            <w:tcW w:type="dxa" w:w="4310"/>
            <w:vAlign w:val="center"/>
            <w:tcMar>
              <w:top w:w="90" w:type="dxa"/>
              <w:start w:w="120" w:type="dxa"/>
              <w:bottom w:w="90" w:type="dxa"/>
              <w:end w:w="120" w:type="dxa"/>
            </w:tcMar>
          </w:tcPr>
          <w:p>
            <w:r>
              <w:rPr>
                <w:rFonts w:ascii="Calibri" w:hAnsi="Calibri"/>
                <w:color w:val="0F172A"/>
                <w:sz w:val="17"/>
              </w:rPr>
              <w:t>Verify production private-DNS/network access policy, support consent workflow, finance separation, alerts, and operational dashboards.</w:t>
            </w:r>
          </w:p>
        </w:tc>
      </w:tr>
    </w:tbl>
    <w:p>
      <w:pPr>
        <w:pStyle w:val="Heading1"/>
      </w:pPr>
      <w:r>
        <w:t>7. Final manual acceptance test script</w:t>
      </w:r>
    </w:p>
    <w:p>
      <w:pPr>
        <w:pStyle w:val="ListNumber"/>
      </w:pPr>
      <w:r>
        <w:t>Back up the shared test database; apply migrations 0039 and 0040; confirm migrate --check passes.</w:t>
      </w:r>
    </w:p>
    <w:p>
      <w:pPr>
        <w:pStyle w:val="ListNumber"/>
      </w:pPr>
      <w:r>
        <w:t>Resolve the legal-version mismatch, publish the matching Professional and Client documents, and confirm all 79 backend tests pass.</w:t>
      </w:r>
    </w:p>
    <w:p>
      <w:pPr>
        <w:pStyle w:val="ListNumber"/>
      </w:pPr>
      <w:r>
        <w:t>Create Professional A and Professional B using separate emails. Exercise password signup and Google signup, OTP, duplicate account handling, login, logout, password reset, and expired-token behavior.</w:t>
      </w:r>
    </w:p>
    <w:p>
      <w:pPr>
        <w:pStyle w:val="ListNumber"/>
      </w:pPr>
      <w:r>
        <w:t>For each professional, complete profile setup, set a unique Professional Code, upload/remove a photo, and verify public/client visibility settings.</w:t>
      </w:r>
    </w:p>
    <w:p>
      <w:pPr>
        <w:pStyle w:val="ListNumber"/>
      </w:pPr>
      <w:r>
        <w:t>Create at least two public lead forms. Confirm each has a unique URL, correct enable/disable behavior, accurate fields, and independent submissions. Approve one lead, decline one, and verify no cross-form mixing.</w:t>
      </w:r>
    </w:p>
    <w:p>
      <w:pPr>
        <w:pStyle w:val="ListNumber"/>
      </w:pPr>
      <w:r>
        <w:t>Create two groups. Configure separate registration forms; manually add a client; bulk-import a small CSV; approve/decline pending registrations; verify group counts and limits.</w:t>
      </w:r>
    </w:p>
    <w:p>
      <w:pPr>
        <w:pStyle w:val="ListNumber"/>
      </w:pPr>
      <w:r>
        <w:t>Create at least two clients per professional. Attempt to access Professional A objects while authenticated as Professional B and Client A objects as Client B. Every attempt must be denied or return not found.</w:t>
      </w:r>
    </w:p>
    <w:p>
      <w:pPr>
        <w:pStyle w:val="ListNumber"/>
      </w:pPr>
      <w:r>
        <w:t>Create and assign templates, submit client entries, edit an entry as the professional, unassign/reassign a template, and verify historical entries remain intact.</w:t>
      </w:r>
    </w:p>
    <w:p>
      <w:pPr>
        <w:pStyle w:val="ListNumber"/>
      </w:pPr>
      <w:r>
        <w:t>Create resource categories and upload an image/PDF; add a YouTube resource; assign each to selected clients; verify unassigned clients cannot see them.</w:t>
      </w:r>
    </w:p>
    <w:p>
      <w:pPr>
        <w:pStyle w:val="ListNumber"/>
      </w:pPr>
      <w:r>
        <w:t>Exchange chat messages in both directions. Verify unread counts, mark-as-read behavior, notification destinations, no private data in client views, and responsive notification dropdown controls.</w:t>
      </w:r>
    </w:p>
    <w:p>
      <w:pPr>
        <w:pStyle w:val="ListNumber"/>
      </w:pPr>
      <w:r>
        <w:t>Configure availability and days off. Request a 15- or 30-minute meeting from the client, accept it as the professional, verify both dashboards/profiles, reschedule, cancel, and export/open the calendar event.</w:t>
      </w:r>
    </w:p>
    <w:p>
      <w:pPr>
        <w:pStyle w:val="ListNumber"/>
      </w:pPr>
      <w:r>
        <w:t>Configure reporting currency and manual payment methods. Create a request; submit multiple proofs; acknowledge partial and final amounts; test overpayment; reject and resubmit; print confirmations from both roles; verify private manual logs never appear to the client.</w:t>
      </w:r>
    </w:p>
    <w:p>
      <w:pPr>
        <w:pStyle w:val="ListNumber"/>
      </w:pPr>
      <w:r>
        <w:t>Run Razorpay test-mode success, failure, duplicate/delayed webhook, wrong amount, cancellation, refund, and reconciliation scenarios using provider-issued test credentials.</w:t>
      </w:r>
    </w:p>
    <w:p>
      <w:pPr>
        <w:pStyle w:val="ListNumber"/>
      </w:pPr>
      <w:r>
        <w:t>Verify Free, Pro, and Premium limit enforcement and downgrade cancellation: storage rules, protected client data, over-limit cleanup instructions, expiry date, forced cancellation path, and return to Free.</w:t>
      </w:r>
    </w:p>
    <w:p>
      <w:pPr>
        <w:pStyle w:val="ListNumber"/>
      </w:pPr>
      <w:r>
        <w:t>Verify Admin Portal RBAC with owner, finance, support, and restricted staff accounts; test audit logs, support consent, error queues, lifecycle actions, and private-data exclusion.</w:t>
      </w:r>
    </w:p>
    <w:p>
      <w:pPr>
        <w:pStyle w:val="ListNumber"/>
      </w:pPr>
      <w:r>
        <w:t>Run a backup restore drill for PostgreSQL and S3/object storage, then record restore time, recovery point, responsible owner, and evidence.</w:t>
      </w:r>
    </w:p>
    <w:p>
      <w:pPr>
        <w:pStyle w:val="ListNumber"/>
      </w:pPr>
      <w:r>
        <w:t>Run manage.py check --deploy in production, inspect static and API security headers, test HTTPS-only behavior, and complete an accessibility pass at desktop and mobile widths with keyboard-only navigation.</w:t>
      </w:r>
    </w:p>
    <w:p>
      <w:pPr>
        <w:pStyle w:val="Heading1"/>
      </w:pPr>
      <w:r>
        <w:t>8. Release gate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7EF"/>
            <w:vAlign w:val="center"/>
            <w:tcMar>
              <w:top w:w="90" w:type="dxa"/>
              <w:start w:w="120" w:type="dxa"/>
              <w:bottom w:w="90" w:type="dxa"/>
              <w:end w:w="120" w:type="dxa"/>
            </w:tcMar>
          </w:tcPr>
          <w:p>
            <w:pPr>
              <w:spacing w:after="60"/>
            </w:pPr>
            <w:r>
              <w:rPr>
                <w:rFonts w:ascii="Calibri" w:hAnsi="Calibri"/>
                <w:b/>
                <w:color w:val="166534"/>
                <w:sz w:val="21"/>
              </w:rPr>
              <w:t>Minimum conditions for a green signal</w:t>
            </w:r>
          </w:p>
          <w:p>
            <w:pPr>
              <w:spacing w:after="0"/>
            </w:pPr>
            <w:r>
              <w:rPr>
                <w:rFonts w:ascii="Calibri" w:hAnsi="Calibri"/>
                <w:color w:val="0F172A"/>
                <w:sz w:val="20"/>
              </w:rPr>
              <w:t>All migrations applied; 79/79 backend tests passing; legal version consistent; production deploy check clean; frontend security headers intentionally configured; authenticated manual UAT completed with two professionals and four clients; payment gateway tests completed or the gateway visibly disabled; backup restore drill recorded; and every P0/P1 defect assigned an owner and retest result.</w:t>
            </w:r>
          </w:p>
        </w:tc>
      </w:tr>
    </w:tbl>
    <w:p>
      <w:pPr>
        <w:spacing w:after="20"/>
      </w:pPr>
    </w:p>
    <w:p>
      <w:r>
        <w:t>Final assessment: suitable for continued controlled testing after the two immediate blockers are corrected. Not yet ready to be described as fully production-ready or security-complete.</w:t>
      </w: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475569"/>
        <w:sz w:val="17"/>
      </w:rPr>
      <w:t>REPROOT STUDIO | FINAL RELEASE-CANDIDATE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E40AF"/>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E40A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