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after="280"/>
      </w:pPr>
      <w:r>
        <w:rPr>
          <w:rFonts w:ascii="Calibri" w:hAnsi="Calibri"/>
          <w:b/>
          <w:color w:val="2563EB"/>
          <w:sz w:val="20"/>
        </w:rPr>
        <w:t>PRODUCT AND HELP HANDBOOK</w:t>
      </w:r>
    </w:p>
    <w:p>
      <w:pPr>
        <w:pStyle w:val="Title"/>
      </w:pPr>
      <w:r>
        <w:rPr>
          <w:rFonts w:ascii="Calibri" w:hAnsi="Calibri"/>
          <w:b/>
          <w:color w:val="0F172A"/>
          <w:sz w:val="56"/>
        </w:rPr>
        <w:t>RepRoot Studio</w:t>
        <w:br/>
        <w:t>Marketing, Concepts, and User Guide</w:t>
      </w:r>
    </w:p>
    <w:p>
      <w:pPr>
        <w:pStyle w:val="Subtitle"/>
      </w:pPr>
      <w:r>
        <w:rPr>
          <w:rFonts w:ascii="Calibri" w:hAnsi="Calibri"/>
          <w:color w:val="475569"/>
          <w:sz w:val="26"/>
        </w:rPr>
        <w:t>A reusable source for website marketing, onboarding, in-product Help, support articles, FAQs, and user education.</w:t>
      </w:r>
    </w:p>
    <w:tbl>
      <w:tblPr>
        <w:tblStyle w:val="TableGrid"/>
        <w:tblW w:type="dxa" w:w="9360"/>
        <w:jc w:val="left"/>
        <w:tblLayout w:type="fixed"/>
        <w:tblLook w:firstColumn="1" w:firstRow="1" w:lastColumn="0" w:lastRow="0" w:noHBand="0" w:noVBand="1" w:val="04A0"/>
        <w:tblInd w:w="120" w:type="dxa"/>
      </w:tblPr>
      <w:tblGrid>
        <w:gridCol w:w="2160"/>
        <w:gridCol w:w="7200"/>
      </w:tblGrid>
      <w:tr>
        <w:trPr>
          <w:tblHeader w:val="true"/>
        </w:trPr>
        <w:tc>
          <w:tcPr>
            <w:tcW w:type="dxa" w:w="2160"/>
            <w:shd w:fill="E8EEF5"/>
            <w:vAlign w:val="center"/>
            <w:tcMar>
              <w:top w:w="90" w:type="dxa"/>
              <w:start w:w="120" w:type="dxa"/>
              <w:bottom w:w="90" w:type="dxa"/>
              <w:end w:w="120" w:type="dxa"/>
            </w:tcMar>
          </w:tcPr>
          <w:p>
            <w:r>
              <w:rPr>
                <w:rFonts w:ascii="Calibri" w:hAnsi="Calibri"/>
                <w:b/>
                <w:color w:val="1E40AF"/>
                <w:sz w:val="19"/>
              </w:rPr>
              <w:t>Audience</w:t>
            </w:r>
          </w:p>
        </w:tc>
        <w:tc>
          <w:tcPr>
            <w:tcW w:type="dxa" w:w="7200"/>
            <w:vAlign w:val="center"/>
            <w:tcMar>
              <w:top w:w="90" w:type="dxa"/>
              <w:start w:w="120" w:type="dxa"/>
              <w:bottom w:w="90" w:type="dxa"/>
              <w:end w:w="120" w:type="dxa"/>
            </w:tcMar>
          </w:tcPr>
          <w:p>
            <w:r>
              <w:rPr>
                <w:rFonts w:ascii="Calibri" w:hAnsi="Calibri"/>
                <w:color w:val="0F172A"/>
                <w:sz w:val="19"/>
              </w:rPr>
              <w:t>Professionals, clients, support teams, marketers, and product operators</w:t>
            </w:r>
          </w:p>
        </w:tc>
      </w:tr>
      <w:tr>
        <w:tc>
          <w:tcPr>
            <w:tcW w:type="dxa" w:w="2160"/>
            <w:shd w:fill="E8EEF5"/>
            <w:vAlign w:val="center"/>
            <w:tcMar>
              <w:top w:w="90" w:type="dxa"/>
              <w:start w:w="120" w:type="dxa"/>
              <w:bottom w:w="90" w:type="dxa"/>
              <w:end w:w="120" w:type="dxa"/>
            </w:tcMar>
          </w:tcPr>
          <w:p>
            <w:r>
              <w:rPr>
                <w:rFonts w:ascii="Calibri" w:hAnsi="Calibri"/>
                <w:b/>
                <w:color w:val="1E40AF"/>
                <w:sz w:val="19"/>
              </w:rPr>
              <w:t>Product</w:t>
            </w:r>
          </w:p>
        </w:tc>
        <w:tc>
          <w:tcPr>
            <w:tcW w:type="dxa" w:w="7200"/>
            <w:vAlign w:val="center"/>
            <w:tcMar>
              <w:top w:w="90" w:type="dxa"/>
              <w:start w:w="120" w:type="dxa"/>
              <w:bottom w:w="90" w:type="dxa"/>
              <w:end w:w="120" w:type="dxa"/>
            </w:tcMar>
          </w:tcPr>
          <w:p>
            <w:r>
              <w:rPr>
                <w:rFonts w:ascii="Calibri" w:hAnsi="Calibri"/>
                <w:color w:val="0F172A"/>
                <w:sz w:val="19"/>
              </w:rPr>
              <w:t>RepRoot Studio - professional and client relationship workspace</w:t>
            </w:r>
          </w:p>
        </w:tc>
      </w:tr>
      <w:tr>
        <w:tc>
          <w:tcPr>
            <w:tcW w:type="dxa" w:w="2160"/>
            <w:shd w:fill="E8EEF5"/>
            <w:vAlign w:val="center"/>
            <w:tcMar>
              <w:top w:w="90" w:type="dxa"/>
              <w:start w:w="120" w:type="dxa"/>
              <w:bottom w:w="90" w:type="dxa"/>
              <w:end w:w="120" w:type="dxa"/>
            </w:tcMar>
          </w:tcPr>
          <w:p>
            <w:r>
              <w:rPr>
                <w:rFonts w:ascii="Calibri" w:hAnsi="Calibri"/>
                <w:b/>
                <w:color w:val="1E40AF"/>
                <w:sz w:val="19"/>
              </w:rPr>
              <w:t>Launch scope</w:t>
            </w:r>
          </w:p>
        </w:tc>
        <w:tc>
          <w:tcPr>
            <w:tcW w:type="dxa" w:w="7200"/>
            <w:vAlign w:val="center"/>
            <w:tcMar>
              <w:top w:w="90" w:type="dxa"/>
              <w:start w:w="120" w:type="dxa"/>
              <w:bottom w:w="90" w:type="dxa"/>
              <w:end w:w="120" w:type="dxa"/>
            </w:tcMar>
          </w:tcPr>
          <w:p>
            <w:r>
              <w:rPr>
                <w:rFonts w:ascii="Calibri" w:hAnsi="Calibri"/>
                <w:color w:val="0F172A"/>
                <w:sz w:val="19"/>
              </w:rPr>
              <w:t>Web experience; India and United States are the currently stated supported regions</w:t>
            </w:r>
          </w:p>
        </w:tc>
      </w:tr>
      <w:tr>
        <w:tc>
          <w:tcPr>
            <w:tcW w:type="dxa" w:w="2160"/>
            <w:shd w:fill="E8EEF5"/>
            <w:vAlign w:val="center"/>
            <w:tcMar>
              <w:top w:w="90" w:type="dxa"/>
              <w:start w:w="120" w:type="dxa"/>
              <w:bottom w:w="90" w:type="dxa"/>
              <w:end w:w="120" w:type="dxa"/>
            </w:tcMar>
          </w:tcPr>
          <w:p>
            <w:r>
              <w:rPr>
                <w:rFonts w:ascii="Calibri" w:hAnsi="Calibri"/>
                <w:b/>
                <w:color w:val="1E40AF"/>
                <w:sz w:val="19"/>
              </w:rPr>
              <w:t>Editorial rule</w:t>
            </w:r>
          </w:p>
        </w:tc>
        <w:tc>
          <w:tcPr>
            <w:tcW w:type="dxa" w:w="7200"/>
            <w:vAlign w:val="center"/>
            <w:tcMar>
              <w:top w:w="90" w:type="dxa"/>
              <w:start w:w="120" w:type="dxa"/>
              <w:bottom w:w="90" w:type="dxa"/>
              <w:end w:w="120" w:type="dxa"/>
            </w:tcMar>
          </w:tcPr>
          <w:p>
            <w:r>
              <w:rPr>
                <w:rFonts w:ascii="Calibri" w:hAnsi="Calibri"/>
                <w:color w:val="0F172A"/>
                <w:sz w:val="19"/>
              </w:rPr>
              <w:t>Describe current behavior accurately; do not promise unverified outcomes, automatic payments, medical advice, or zero-risk security</w:t>
            </w:r>
          </w:p>
        </w:tc>
      </w:tr>
    </w:tbl>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E8EEF5"/>
            <w:vAlign w:val="center"/>
            <w:tcMar>
              <w:top w:w="90" w:type="dxa"/>
              <w:start w:w="120" w:type="dxa"/>
              <w:bottom w:w="90" w:type="dxa"/>
              <w:end w:w="120" w:type="dxa"/>
            </w:tcMar>
          </w:tcPr>
          <w:p>
            <w:pPr>
              <w:spacing w:after="60"/>
            </w:pPr>
            <w:r>
              <w:rPr>
                <w:rFonts w:ascii="Calibri" w:hAnsi="Calibri"/>
                <w:b/>
                <w:color w:val="1E40AF"/>
                <w:sz w:val="21"/>
              </w:rPr>
              <w:t>Core message</w:t>
            </w:r>
          </w:p>
          <w:p>
            <w:pPr>
              <w:spacing w:after="0"/>
            </w:pPr>
            <w:r>
              <w:rPr>
                <w:rFonts w:ascii="Calibri" w:hAnsi="Calibri"/>
                <w:color w:val="0F172A"/>
                <w:sz w:val="20"/>
              </w:rPr>
              <w:t>RepRoot Studio gives relationship-driven professionals one structured place to attract enquiries, organize clients, collect information, track progress, share resources, communicate, schedule meetings, and record payment activity—while giving each client a focused portal for the work they share together.</w:t>
            </w:r>
          </w:p>
        </w:tc>
      </w:tr>
    </w:tbl>
    <w:p>
      <w:pPr>
        <w:spacing w:after="20"/>
      </w:pPr>
    </w:p>
    <w:p>
      <w:pPr>
        <w:pStyle w:val="Heading1"/>
      </w:pPr>
      <w:r>
        <w:t>1. Product positioning</w:t>
      </w:r>
    </w:p>
    <w:p>
      <w:pPr>
        <w:pStyle w:val="Heading2"/>
      </w:pPr>
      <w:r>
        <w:t>Short description</w:t>
      </w:r>
    </w:p>
    <w:p>
      <w:r>
        <w:t>RepRoot Studio is a professional and client management workspace for coaches, trainers, consultants, mentors, educators, and other professionals whose work depends on ongoing guidance, accountability, and measurable progress.</w:t>
      </w:r>
    </w:p>
    <w:p>
      <w:pPr>
        <w:pStyle w:val="Heading2"/>
      </w:pPr>
      <w:r>
        <w:t>The problem</w:t>
      </w:r>
    </w:p>
    <w:p>
      <w:r>
        <w:t>Many professionals manage enquiries in messages, client details in spreadsheets, check-ins in forms, files in cloud folders, meetings in calendars, and payments in separate notes. Information becomes fragmented, follow-ups are missed, and clients do not know where to look. RepRoot Studio connects those workflows around the professional-client relationship.</w:t>
      </w:r>
    </w:p>
    <w:p>
      <w:pPr>
        <w:pStyle w:val="Heading2"/>
      </w:pPr>
      <w:r>
        <w:t>The outcome</w:t>
      </w:r>
    </w:p>
    <w:p>
      <w:pPr>
        <w:pStyle w:val="ListBullet"/>
      </w:pPr>
      <w:r>
        <w:t>A clearer journey from enquiry to approved client.</w:t>
      </w:r>
    </w:p>
    <w:p>
      <w:pPr>
        <w:pStyle w:val="ListBullet"/>
      </w:pPr>
      <w:r>
        <w:t>Consistent client onboarding and information collection.</w:t>
      </w:r>
    </w:p>
    <w:p>
      <w:pPr>
        <w:pStyle w:val="ListBullet"/>
      </w:pPr>
      <w:r>
        <w:t>Organized groups, clients, templates, resources, meetings, messages, and payment records.</w:t>
      </w:r>
    </w:p>
    <w:p>
      <w:pPr>
        <w:pStyle w:val="ListBullet"/>
      </w:pPr>
      <w:r>
        <w:t>A client portal that shows only the information shared with that client.</w:t>
      </w:r>
    </w:p>
    <w:p>
      <w:pPr>
        <w:pStyle w:val="ListBullet"/>
      </w:pPr>
      <w:r>
        <w:t>A time-ordered activity trail that reduces dependence on memory and scattered chats.</w:t>
      </w:r>
    </w:p>
    <w:p>
      <w:pPr>
        <w:pStyle w:val="Heading2"/>
      </w:pPr>
      <w:r>
        <w:t>Audience examples</w:t>
      </w:r>
    </w:p>
    <w:p>
      <w:r>
        <w:t>Fitness trainers, wellness coaches, tutors, music teachers, mentors, consultants, rehabilitation support professionals, career coaches, and small relationship-based service businesses can adapt the same building blocks to their own process. RepRoot Studio is software infrastructure; it does not replace the professional's judgment or provide medical, legal, financial, or other regulated advice.</w:t>
      </w:r>
    </w:p>
    <w:p>
      <w:pPr>
        <w:pStyle w:val="Heading1"/>
      </w:pPr>
      <w:r>
        <w:t>2. Roles and workspaces</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E8EEF5"/>
            <w:vAlign w:val="center"/>
            <w:tcMar>
              <w:top w:w="90" w:type="dxa"/>
              <w:start w:w="120" w:type="dxa"/>
              <w:bottom w:w="90" w:type="dxa"/>
              <w:end w:w="120" w:type="dxa"/>
            </w:tcMar>
          </w:tcPr>
          <w:p>
            <w:r>
              <w:rPr>
                <w:rFonts w:ascii="Calibri" w:hAnsi="Calibri"/>
                <w:b/>
                <w:color w:val="1E40AF"/>
                <w:sz w:val="19"/>
              </w:rPr>
              <w:t>Role</w:t>
            </w:r>
          </w:p>
        </w:tc>
        <w:tc>
          <w:tcPr>
            <w:tcW w:type="dxa" w:w="7460"/>
            <w:shd w:fill="E8EEF5"/>
            <w:vAlign w:val="center"/>
            <w:tcMar>
              <w:top w:w="90" w:type="dxa"/>
              <w:start w:w="120" w:type="dxa"/>
              <w:bottom w:w="90" w:type="dxa"/>
              <w:end w:w="120" w:type="dxa"/>
            </w:tcMar>
          </w:tcPr>
          <w:p>
            <w:r>
              <w:rPr>
                <w:rFonts w:ascii="Calibri" w:hAnsi="Calibri"/>
                <w:b/>
                <w:color w:val="1E40AF"/>
                <w:sz w:val="19"/>
              </w:rPr>
              <w:t>Purpose and responsibility</w:t>
            </w:r>
          </w:p>
        </w:tc>
      </w:tr>
      <w:tr>
        <w:tc>
          <w:tcPr>
            <w:tcW w:type="dxa" w:w="1900"/>
            <w:vAlign w:val="center"/>
            <w:tcMar>
              <w:top w:w="90" w:type="dxa"/>
              <w:start w:w="120" w:type="dxa"/>
              <w:bottom w:w="90" w:type="dxa"/>
              <w:end w:w="120" w:type="dxa"/>
            </w:tcMar>
          </w:tcPr>
          <w:p>
            <w:r>
              <w:t>Professional</w:t>
            </w:r>
          </w:p>
        </w:tc>
        <w:tc>
          <w:tcPr>
            <w:tcW w:type="dxa" w:w="7460"/>
            <w:vAlign w:val="center"/>
            <w:tcMar>
              <w:top w:w="90" w:type="dxa"/>
              <w:start w:w="120" w:type="dxa"/>
              <w:bottom w:w="90" w:type="dxa"/>
              <w:end w:w="120" w:type="dxa"/>
            </w:tcMar>
          </w:tcPr>
          <w:p>
            <w:r>
              <w:t>Creates the workspace, defines forms and templates, manages clients, chooses what to request/share, schedules work, records payments, and controls access.</w:t>
            </w:r>
          </w:p>
        </w:tc>
      </w:tr>
      <w:tr>
        <w:tc>
          <w:tcPr>
            <w:tcW w:type="dxa" w:w="1900"/>
            <w:vAlign w:val="center"/>
            <w:tcMar>
              <w:top w:w="90" w:type="dxa"/>
              <w:start w:w="120" w:type="dxa"/>
              <w:bottom w:w="90" w:type="dxa"/>
              <w:end w:w="120" w:type="dxa"/>
            </w:tcMar>
          </w:tcPr>
          <w:p>
            <w:r>
              <w:t>Client</w:t>
            </w:r>
          </w:p>
        </w:tc>
        <w:tc>
          <w:tcPr>
            <w:tcW w:type="dxa" w:w="7460"/>
            <w:vAlign w:val="center"/>
            <w:tcMar>
              <w:top w:w="90" w:type="dxa"/>
              <w:start w:w="120" w:type="dxa"/>
              <w:bottom w:w="90" w:type="dxa"/>
              <w:end w:w="120" w:type="dxa"/>
            </w:tcMar>
          </w:tcPr>
          <w:p>
            <w:r>
              <w:t>Uses access approved by a professional to view shared templates/resources, submit updates, message, request meetings, review payment requests, and manage their own account choices.</w:t>
            </w:r>
          </w:p>
        </w:tc>
      </w:tr>
      <w:tr>
        <w:tc>
          <w:tcPr>
            <w:tcW w:type="dxa" w:w="1900"/>
            <w:vAlign w:val="center"/>
            <w:tcMar>
              <w:top w:w="90" w:type="dxa"/>
              <w:start w:w="120" w:type="dxa"/>
              <w:bottom w:w="90" w:type="dxa"/>
              <w:end w:w="120" w:type="dxa"/>
            </w:tcMar>
          </w:tcPr>
          <w:p>
            <w:r>
              <w:t>Lead / applicant</w:t>
            </w:r>
          </w:p>
        </w:tc>
        <w:tc>
          <w:tcPr>
            <w:tcW w:type="dxa" w:w="7460"/>
            <w:vAlign w:val="center"/>
            <w:tcMar>
              <w:top w:w="90" w:type="dxa"/>
              <w:start w:w="120" w:type="dxa"/>
              <w:bottom w:w="90" w:type="dxa"/>
              <w:end w:w="120" w:type="dxa"/>
            </w:tcMar>
          </w:tcPr>
          <w:p>
            <w:r>
              <w:t>A person who submits a public lead form before receiving a client account. A lead is not automatically a client.</w:t>
            </w:r>
          </w:p>
        </w:tc>
      </w:tr>
      <w:tr>
        <w:tc>
          <w:tcPr>
            <w:tcW w:type="dxa" w:w="1900"/>
            <w:vAlign w:val="center"/>
            <w:tcMar>
              <w:top w:w="90" w:type="dxa"/>
              <w:start w:w="120" w:type="dxa"/>
              <w:bottom w:w="90" w:type="dxa"/>
              <w:end w:w="120" w:type="dxa"/>
            </w:tcMar>
          </w:tcPr>
          <w:p>
            <w:r>
              <w:t>Admin staff</w:t>
            </w:r>
          </w:p>
        </w:tc>
        <w:tc>
          <w:tcPr>
            <w:tcW w:type="dxa" w:w="7460"/>
            <w:vAlign w:val="center"/>
            <w:tcMar>
              <w:top w:w="90" w:type="dxa"/>
              <w:start w:w="120" w:type="dxa"/>
              <w:bottom w:w="90" w:type="dxa"/>
              <w:end w:w="120" w:type="dxa"/>
            </w:tcMar>
          </w:tcPr>
          <w:p>
            <w:r>
              <w:t>Authorized internal staff with separate credentials and permission-controlled access to operations, support, finance, errors, audit logs, and account lifecycle tools.</w:t>
            </w:r>
          </w:p>
        </w:tc>
      </w:tr>
    </w:tbl>
    <w:p>
      <w:pPr>
        <w:pStyle w:val="Heading1"/>
      </w:pPr>
      <w:r>
        <w:t>3. Professional Code and client login</w:t>
      </w:r>
    </w:p>
    <w:p>
      <w:pPr>
        <w:pStyle w:val="Heading2"/>
      </w:pPr>
      <w:r>
        <w:t>What it means</w:t>
      </w:r>
    </w:p>
    <w:p>
      <w:r>
        <w:t>A Professional Code is a unique, shareable code that identifies one professional's workspace. Client usernames are scoped to that professional, so the code tells RepRoot Studio where to authenticate the client.</w:t>
      </w:r>
    </w:p>
    <w:p>
      <w:pPr>
        <w:pStyle w:val="Heading2"/>
      </w:pPr>
      <w:r>
        <w:t>Problem it solves</w:t>
      </w:r>
    </w:p>
    <w:p>
      <w:r>
        <w:t>It prevents ambiguity when different professionals use similar client usernames and gives clients a simple way to reach the correct workspace.</w:t>
      </w:r>
    </w:p>
    <w:p>
      <w:pPr>
        <w:pStyle w:val="Heading2"/>
      </w:pPr>
      <w:r>
        <w:t>For professionals</w:t>
      </w:r>
    </w:p>
    <w:p>
      <w:r>
        <w:t>Choose the code during profile setup, keep it recognizable, and share it only with intended clients. The code can be updated from settings, subject to uniqueness and format rules.</w:t>
      </w:r>
    </w:p>
    <w:p>
      <w:pPr>
        <w:pStyle w:val="Heading2"/>
      </w:pPr>
      <w:r>
        <w:t>For clients</w:t>
      </w:r>
    </w:p>
    <w:p>
      <w:r>
        <w:t>Enter the professional's code, your professional-issued username, and your password. The Find Professional tool can search by public professional name or code after at least three characters.</w:t>
      </w:r>
    </w:p>
    <w:p>
      <w:pPr>
        <w:pStyle w:val="Heading2"/>
      </w:pPr>
      <w:r>
        <w:t>Main actions</w:t>
      </w:r>
    </w:p>
    <w:p>
      <w:pPr>
        <w:pStyle w:val="ListBullet"/>
      </w:pPr>
      <w:r>
        <w:t>Create or update a Professional Code.</w:t>
      </w:r>
    </w:p>
    <w:p>
      <w:pPr>
        <w:pStyle w:val="ListBullet"/>
      </w:pPr>
      <w:r>
        <w:t>Share the code with clients.</w:t>
      </w:r>
    </w:p>
    <w:p>
      <w:pPr>
        <w:pStyle w:val="ListBullet"/>
      </w:pPr>
      <w:r>
        <w:t>Use Find Professional when the code is not known.</w:t>
      </w:r>
    </w:p>
    <w:p>
      <w:pPr>
        <w:pStyle w:val="ListBullet"/>
      </w:pPr>
      <w:r>
        <w:t>Sign in with Professional Code + username + password.</w:t>
      </w:r>
    </w:p>
    <w:p>
      <w:pPr>
        <w:pStyle w:val="ListBullet"/>
      </w:pPr>
      <w:r>
        <w:t>Change a temporary password on first login.</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E8EEF5"/>
            <w:vAlign w:val="center"/>
            <w:tcMar>
              <w:top w:w="90" w:type="dxa"/>
              <w:start w:w="120" w:type="dxa"/>
              <w:bottom w:w="90" w:type="dxa"/>
              <w:end w:w="120" w:type="dxa"/>
            </w:tcMar>
          </w:tcPr>
          <w:p>
            <w:pPr>
              <w:spacing w:after="60"/>
            </w:pPr>
            <w:r>
              <w:rPr>
                <w:rFonts w:ascii="Calibri" w:hAnsi="Calibri"/>
                <w:b/>
                <w:color w:val="1E40AF"/>
                <w:sz w:val="21"/>
              </w:rPr>
              <w:t>Privacy note</w:t>
            </w:r>
          </w:p>
          <w:p>
            <w:pPr>
              <w:spacing w:after="0"/>
            </w:pPr>
            <w:r>
              <w:rPr>
                <w:rFonts w:ascii="Calibri" w:hAnsi="Calibri"/>
                <w:color w:val="0F172A"/>
                <w:sz w:val="20"/>
              </w:rPr>
              <w:t>The directory should show only approved public identity information. Hidden usernames and private profile data must not be searchable.</w:t>
            </w:r>
          </w:p>
        </w:tc>
      </w:tr>
    </w:tbl>
    <w:p>
      <w:pPr>
        <w:spacing w:after="20"/>
      </w:pPr>
    </w:p>
    <w:p>
      <w:pPr>
        <w:pStyle w:val="Heading1"/>
      </w:pPr>
      <w:r>
        <w:t>4. Lead Forms</w:t>
      </w:r>
    </w:p>
    <w:p>
      <w:pPr>
        <w:pStyle w:val="Heading2"/>
      </w:pPr>
      <w:r>
        <w:t>What it means</w:t>
      </w:r>
    </w:p>
    <w:p>
      <w:r>
        <w:t>A Lead Form is a public enquiry form with its own shareable URL. It is designed for people who are not yet clients. Each form can have its own title, questions, status, and optional introductory-meeting offer.</w:t>
      </w:r>
    </w:p>
    <w:p>
      <w:pPr>
        <w:pStyle w:val="Heading2"/>
      </w:pPr>
      <w:r>
        <w:t>Problem it solves</w:t>
      </w:r>
    </w:p>
    <w:p>
      <w:r>
        <w:t>It replaces unstructured enquiries from social media or email with consistent information that the professional can review before deciding whether to create a client relationship.</w:t>
      </w:r>
    </w:p>
    <w:p>
      <w:pPr>
        <w:pStyle w:val="Heading2"/>
      </w:pPr>
      <w:r>
        <w:t>For professionals</w:t>
      </w:r>
    </w:p>
    <w:p>
      <w:r>
        <w:t>Create one or more forms within plan limits, choose universal and custom fields, copy the public link, enable or disable the form, review submissions, approve a suitable applicant, or decline without creating client access.</w:t>
      </w:r>
    </w:p>
    <w:p>
      <w:pPr>
        <w:pStyle w:val="Heading2"/>
      </w:pPr>
      <w:r>
        <w:t>For clients</w:t>
      </w:r>
    </w:p>
    <w:p>
      <w:r>
        <w:t>Open the shared link without a client account, answer the requested questions, submit the enquiry, and—when offered—request an introductory meeting from available slots.</w:t>
      </w:r>
    </w:p>
    <w:p>
      <w:pPr>
        <w:pStyle w:val="Heading2"/>
      </w:pPr>
      <w:r>
        <w:t>Main actions</w:t>
      </w:r>
    </w:p>
    <w:p>
      <w:pPr>
        <w:pStyle w:val="ListBullet"/>
      </w:pPr>
      <w:r>
        <w:t>Create Form.</w:t>
      </w:r>
    </w:p>
    <w:p>
      <w:pPr>
        <w:pStyle w:val="ListBullet"/>
      </w:pPr>
      <w:r>
        <w:t>Name the form for its audience or campaign.</w:t>
      </w:r>
    </w:p>
    <w:p>
      <w:pPr>
        <w:pStyle w:val="ListBullet"/>
      </w:pPr>
      <w:r>
        <w:t>Add/edit/remove fields.</w:t>
      </w:r>
    </w:p>
    <w:p>
      <w:pPr>
        <w:pStyle w:val="ListBullet"/>
      </w:pPr>
      <w:r>
        <w:t>Enable or disable submissions.</w:t>
      </w:r>
    </w:p>
    <w:p>
      <w:pPr>
        <w:pStyle w:val="ListBullet"/>
      </w:pPr>
      <w:r>
        <w:t>Copy and share the unique form URL.</w:t>
      </w:r>
    </w:p>
    <w:p>
      <w:pPr>
        <w:pStyle w:val="ListBullet"/>
      </w:pPr>
      <w:r>
        <w:t>Review total, pending, approved, and declined/deleted requests.</w:t>
      </w:r>
    </w:p>
    <w:p>
      <w:pPr>
        <w:pStyle w:val="ListBullet"/>
      </w:pPr>
      <w:r>
        <w:t>Open a submission and create client access only after approval.</w:t>
      </w:r>
    </w:p>
    <w:p>
      <w:pPr>
        <w:pStyle w:val="ListBullet"/>
      </w:pPr>
      <w:r>
        <w:t>Offer or disable introductory meeting requests.</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EAF7EF"/>
            <w:vAlign w:val="center"/>
            <w:tcMar>
              <w:top w:w="90" w:type="dxa"/>
              <w:start w:w="120" w:type="dxa"/>
              <w:bottom w:w="90" w:type="dxa"/>
              <w:end w:w="120" w:type="dxa"/>
            </w:tcMar>
          </w:tcPr>
          <w:p>
            <w:pPr>
              <w:spacing w:after="60"/>
            </w:pPr>
            <w:r>
              <w:rPr>
                <w:rFonts w:ascii="Calibri" w:hAnsi="Calibri"/>
                <w:b/>
                <w:color w:val="166534"/>
                <w:sz w:val="21"/>
              </w:rPr>
              <w:t>Recommended wording</w:t>
            </w:r>
          </w:p>
          <w:p>
            <w:pPr>
              <w:spacing w:after="0"/>
            </w:pPr>
            <w:r>
              <w:rPr>
                <w:rFonts w:ascii="Calibri" w:hAnsi="Calibri"/>
                <w:color w:val="0F172A"/>
                <w:sz w:val="20"/>
              </w:rPr>
              <w:t>Use names such as 'New Coaching Enquiry', 'Nutrition Consultation Request', or 'Summer Program Application' so the link's purpose is clear.</w:t>
            </w:r>
          </w:p>
        </w:tc>
      </w:tr>
    </w:tbl>
    <w:p>
      <w:pPr>
        <w:spacing w:after="20"/>
      </w:pPr>
    </w:p>
    <w:p>
      <w:pPr>
        <w:pStyle w:val="Heading1"/>
      </w:pPr>
      <w:r>
        <w:t>5. Forms versus Client Registration Forms</w:t>
      </w:r>
    </w:p>
    <w:p>
      <w:pPr>
        <w:pStyle w:val="Heading2"/>
      </w:pPr>
      <w:r>
        <w:t>What it means</w:t>
      </w:r>
    </w:p>
    <w:p>
      <w:r>
        <w:t>In RepRoot Studio, 'Forms' can refer to public Lead Forms and to group-specific Client Registration Forms. A Lead Form attracts and qualifies unknown applicants. A Client Registration Form defines the information collected when a person joins a particular group or is manually added as a client.</w:t>
      </w:r>
    </w:p>
    <w:p>
      <w:pPr>
        <w:pStyle w:val="Heading2"/>
      </w:pPr>
      <w:r>
        <w:t>Problem it solves</w:t>
      </w:r>
    </w:p>
    <w:p>
      <w:r>
        <w:t>The distinction prevents prospect information from being confused with the structured onboarding record of an approved client.</w:t>
      </w:r>
    </w:p>
    <w:p>
      <w:pPr>
        <w:pStyle w:val="Heading2"/>
      </w:pPr>
      <w:r>
        <w:t>For professionals</w:t>
      </w:r>
    </w:p>
    <w:p>
      <w:r>
        <w:t>Use a Lead Form before approval. Use a Client Registration Form after deciding how the client will be organized. Keep mandatory identity fields minimal and request only information that is necessary for the service.</w:t>
      </w:r>
    </w:p>
    <w:p>
      <w:pPr>
        <w:pStyle w:val="Heading2"/>
      </w:pPr>
      <w:r>
        <w:t>For clients</w:t>
      </w:r>
    </w:p>
    <w:p>
      <w:r>
        <w:t>A lead submits an enquiry. An approved or manually added client completes the registration information selected for their group. The client can later review appropriate details in their portal.</w:t>
      </w:r>
    </w:p>
    <w:p>
      <w:pPr>
        <w:pStyle w:val="Heading2"/>
      </w:pPr>
      <w:r>
        <w:t>Main actions</w:t>
      </w:r>
    </w:p>
    <w:p>
      <w:pPr>
        <w:pStyle w:val="ListBullet"/>
      </w:pPr>
      <w:r>
        <w:t>Create and share public Lead Forms.</w:t>
      </w:r>
    </w:p>
    <w:p>
      <w:pPr>
        <w:pStyle w:val="ListBullet"/>
      </w:pPr>
      <w:r>
        <w:t>Create a registration form inside each group.</w:t>
      </w:r>
    </w:p>
    <w:p>
      <w:pPr>
        <w:pStyle w:val="ListBullet"/>
      </w:pPr>
      <w:r>
        <w:t>Define universal and custom registration fields.</w:t>
      </w:r>
    </w:p>
    <w:p>
      <w:pPr>
        <w:pStyle w:val="ListBullet"/>
      </w:pPr>
      <w:r>
        <w:t>Review a submission before client creation.</w:t>
      </w:r>
    </w:p>
    <w:p>
      <w:pPr>
        <w:pStyle w:val="ListBullet"/>
      </w:pPr>
      <w:r>
        <w:t>Keep field visibility and purpose appropriate to the relationship.</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E8EEF5"/>
            <w:vAlign w:val="center"/>
            <w:tcMar>
              <w:top w:w="90" w:type="dxa"/>
              <w:start w:w="120" w:type="dxa"/>
              <w:bottom w:w="90" w:type="dxa"/>
              <w:end w:w="120" w:type="dxa"/>
            </w:tcMar>
          </w:tcPr>
          <w:p>
            <w:pPr>
              <w:spacing w:after="60"/>
            </w:pPr>
            <w:r>
              <w:rPr>
                <w:rFonts w:ascii="Calibri" w:hAnsi="Calibri"/>
                <w:b/>
                <w:color w:val="1E40AF"/>
                <w:sz w:val="21"/>
              </w:rPr>
              <w:t>Simple rule</w:t>
            </w:r>
          </w:p>
          <w:p>
            <w:pPr>
              <w:spacing w:after="0"/>
            </w:pPr>
            <w:r>
              <w:rPr>
                <w:rFonts w:ascii="Calibri" w:hAnsi="Calibri"/>
                <w:color w:val="0F172A"/>
                <w:sz w:val="20"/>
              </w:rPr>
              <w:t>Lead Form = 'Should we begin a relationship?' Client Registration Form = 'What information is needed to start the approved relationship?'​</w:t>
            </w:r>
          </w:p>
        </w:tc>
      </w:tr>
    </w:tbl>
    <w:p>
      <w:pPr>
        <w:spacing w:after="20"/>
      </w:pPr>
    </w:p>
    <w:p>
      <w:pPr>
        <w:pStyle w:val="Heading1"/>
      </w:pPr>
      <w:r>
        <w:t>6. Groups</w:t>
      </w:r>
    </w:p>
    <w:p>
      <w:pPr>
        <w:pStyle w:val="Heading2"/>
      </w:pPr>
      <w:r>
        <w:t>What it means</w:t>
      </w:r>
    </w:p>
    <w:p>
      <w:r>
        <w:t>A Group is an organizational container for clients who share a program, service, cohort, location, goal, or onboarding process. Every client belongs to a professional, and groups help the professional manage those clients in meaningful sets.</w:t>
      </w:r>
    </w:p>
    <w:p>
      <w:pPr>
        <w:pStyle w:val="Heading2"/>
      </w:pPr>
      <w:r>
        <w:t>Problem it solves</w:t>
      </w:r>
    </w:p>
    <w:p>
      <w:r>
        <w:t>Without groups, a growing client list becomes difficult to scan and different programs may collect inconsistent information. Groups provide a clear structure and a shared registration form.</w:t>
      </w:r>
    </w:p>
    <w:p>
      <w:pPr>
        <w:pStyle w:val="Heading2"/>
      </w:pPr>
      <w:r>
        <w:t>For professionals</w:t>
      </w:r>
    </w:p>
    <w:p>
      <w:r>
        <w:t>Create groups such as 'Strength Foundations', 'Online Coaching', 'Exam Preparation - Fall', or 'Leadership Cohort'. Open a group to review overview metrics, pending users, approved users, recent activity, import tools, and the group's registration form.</w:t>
      </w:r>
    </w:p>
    <w:p>
      <w:pPr>
        <w:pStyle w:val="Heading2"/>
      </w:pPr>
      <w:r>
        <w:t>For clients</w:t>
      </w:r>
    </w:p>
    <w:p>
      <w:r>
        <w:t>Clients do not manage the group. Their portal shows the professional relationship and only the content, templates, resources, meetings, and information intended for them.</w:t>
      </w:r>
    </w:p>
    <w:p>
      <w:pPr>
        <w:pStyle w:val="Heading2"/>
      </w:pPr>
      <w:r>
        <w:t>Main actions</w:t>
      </w:r>
    </w:p>
    <w:p>
      <w:pPr>
        <w:pStyle w:val="ListBullet"/>
      </w:pPr>
      <w:r>
        <w:t>Create and name a group.</w:t>
      </w:r>
    </w:p>
    <w:p>
      <w:pPr>
        <w:pStyle w:val="ListBullet"/>
      </w:pPr>
      <w:r>
        <w:t>Describe the group purpose.</w:t>
      </w:r>
    </w:p>
    <w:p>
      <w:pPr>
        <w:pStyle w:val="ListBullet"/>
      </w:pPr>
      <w:r>
        <w:t>Create or edit its Client Registration Form.</w:t>
      </w:r>
    </w:p>
    <w:p>
      <w:pPr>
        <w:pStyle w:val="ListBullet"/>
      </w:pPr>
      <w:r>
        <w:t>Manually add a client or bulk-import clients.</w:t>
      </w:r>
    </w:p>
    <w:p>
      <w:pPr>
        <w:pStyle w:val="ListBullet"/>
      </w:pPr>
      <w:r>
        <w:t>Review pending registrations.</w:t>
      </w:r>
    </w:p>
    <w:p>
      <w:pPr>
        <w:pStyle w:val="ListBullet"/>
      </w:pPr>
      <w:r>
        <w:t>Approve, decline, activate, or deactivate client access.</w:t>
      </w:r>
    </w:p>
    <w:p>
      <w:pPr>
        <w:pStyle w:val="ListBullet"/>
      </w:pPr>
      <w:r>
        <w:t>Open the approved client list and individual profiles.</w:t>
      </w:r>
    </w:p>
    <w:p>
      <w:pPr>
        <w:pStyle w:val="ListBullet"/>
      </w:pPr>
      <w:r>
        <w:t>Monitor the group count against the current plan.</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EAF7EF"/>
            <w:vAlign w:val="center"/>
            <w:tcMar>
              <w:top w:w="90" w:type="dxa"/>
              <w:start w:w="120" w:type="dxa"/>
              <w:bottom w:w="90" w:type="dxa"/>
              <w:end w:w="120" w:type="dxa"/>
            </w:tcMar>
          </w:tcPr>
          <w:p>
            <w:pPr>
              <w:spacing w:after="60"/>
            </w:pPr>
            <w:r>
              <w:rPr>
                <w:rFonts w:ascii="Calibri" w:hAnsi="Calibri"/>
                <w:b/>
                <w:color w:val="166534"/>
                <w:sz w:val="21"/>
              </w:rPr>
              <w:t>Good practice</w:t>
            </w:r>
          </w:p>
          <w:p>
            <w:pPr>
              <w:spacing w:after="0"/>
            </w:pPr>
            <w:r>
              <w:rPr>
                <w:rFonts w:ascii="Calibri" w:hAnsi="Calibri"/>
                <w:color w:val="0F172A"/>
                <w:sz w:val="20"/>
              </w:rPr>
              <w:t>Group by a real workflow difference. Do not create duplicate groups only to work around plan or visibility rules.</w:t>
            </w:r>
          </w:p>
        </w:tc>
      </w:tr>
    </w:tbl>
    <w:p>
      <w:pPr>
        <w:spacing w:after="20"/>
      </w:pPr>
    </w:p>
    <w:p>
      <w:pPr>
        <w:pStyle w:val="Heading1"/>
      </w:pPr>
      <w:r>
        <w:t>7. Clients and Client Profiles</w:t>
      </w:r>
    </w:p>
    <w:p>
      <w:pPr>
        <w:pStyle w:val="Heading2"/>
      </w:pPr>
      <w:r>
        <w:t>What it means</w:t>
      </w:r>
    </w:p>
    <w:p>
      <w:r>
        <w:t>A Client is a person whose access and records are managed within one professional's workspace. The professional client profile brings together identity, group, account access, submitted information, assigned work, activity, notes, meetings, messages, and payments.</w:t>
      </w:r>
    </w:p>
    <w:p>
      <w:pPr>
        <w:pStyle w:val="Heading2"/>
      </w:pPr>
      <w:r>
        <w:t>Problem it solves</w:t>
      </w:r>
    </w:p>
    <w:p>
      <w:r>
        <w:t>It gives the professional a relationship-centered record instead of forcing them to reconstruct the client's history from multiple tools.</w:t>
      </w:r>
    </w:p>
    <w:p>
      <w:pPr>
        <w:pStyle w:val="Heading2"/>
      </w:pPr>
      <w:r>
        <w:t>For professionals</w:t>
      </w:r>
    </w:p>
    <w:p>
      <w:r>
        <w:t>Create access after approval or manually, grant/revoke portal access, reset credentials, update status, review details, keep private professional notes, assign templates/resources, schedule follow-ups, message the client, and manage payment requests.</w:t>
      </w:r>
    </w:p>
    <w:p>
      <w:pPr>
        <w:pStyle w:val="Heading2"/>
      </w:pPr>
      <w:r>
        <w:t>For clients</w:t>
      </w:r>
    </w:p>
    <w:p>
      <w:r>
        <w:t>View your own dashboard, assigned templates, shared resources, professional profile, meetings, messages, payment requests, account settings, and legal information. A client should never see another client's data or the professional's private notes.</w:t>
      </w:r>
    </w:p>
    <w:p>
      <w:pPr>
        <w:pStyle w:val="Heading2"/>
      </w:pPr>
      <w:r>
        <w:t>Main actions</w:t>
      </w:r>
    </w:p>
    <w:p>
      <w:pPr>
        <w:pStyle w:val="ListBullet"/>
      </w:pPr>
      <w:r>
        <w:t>Add Client.</w:t>
      </w:r>
    </w:p>
    <w:p>
      <w:pPr>
        <w:pStyle w:val="ListBullet"/>
      </w:pPr>
      <w:r>
        <w:t>Grant or revoke portal access.</w:t>
      </w:r>
    </w:p>
    <w:p>
      <w:pPr>
        <w:pStyle w:val="ListBullet"/>
      </w:pPr>
      <w:r>
        <w:t>Reset username/password with an audit trail.</w:t>
      </w:r>
    </w:p>
    <w:p>
      <w:pPr>
        <w:pStyle w:val="ListBullet"/>
      </w:pPr>
      <w:r>
        <w:t>Edit permitted profile information.</w:t>
      </w:r>
    </w:p>
    <w:p>
      <w:pPr>
        <w:pStyle w:val="ListBullet"/>
      </w:pPr>
      <w:r>
        <w:t>Set Active/Inactive status.</w:t>
      </w:r>
    </w:p>
    <w:p>
      <w:pPr>
        <w:pStyle w:val="ListBullet"/>
      </w:pPr>
      <w:r>
        <w:t>Export or request deletion through controlled actions.</w:t>
      </w:r>
    </w:p>
    <w:p>
      <w:pPr>
        <w:pStyle w:val="ListBullet"/>
      </w:pPr>
      <w:r>
        <w:t>Open Client Workspace, Chat, Payments, and Actions.</w:t>
      </w:r>
    </w:p>
    <w:p>
      <w:pPr>
        <w:pStyle w:val="ListBullet"/>
      </w:pPr>
      <w:r>
        <w:t>Use private notes for internal context only.</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FF7E0"/>
            <w:vAlign w:val="center"/>
            <w:tcMar>
              <w:top w:w="90" w:type="dxa"/>
              <w:start w:w="120" w:type="dxa"/>
              <w:bottom w:w="90" w:type="dxa"/>
              <w:end w:w="120" w:type="dxa"/>
            </w:tcMar>
          </w:tcPr>
          <w:p>
            <w:pPr>
              <w:spacing w:after="60"/>
            </w:pPr>
            <w:r>
              <w:rPr>
                <w:rFonts w:ascii="Calibri" w:hAnsi="Calibri"/>
                <w:b/>
                <w:color w:val="926200"/>
                <w:sz w:val="21"/>
              </w:rPr>
              <w:t>Responsibility</w:t>
            </w:r>
          </w:p>
          <w:p>
            <w:pPr>
              <w:spacing w:after="0"/>
            </w:pPr>
            <w:r>
              <w:rPr>
                <w:rFonts w:ascii="Calibri" w:hAnsi="Calibri"/>
                <w:color w:val="0F172A"/>
                <w:sz w:val="20"/>
              </w:rPr>
              <w:t>The professional decides what client information to request and must have an appropriate purpose and permission. RepRoot Studio supplies the software and access controls; it does not direct the professional-client relationship.</w:t>
            </w:r>
          </w:p>
        </w:tc>
      </w:tr>
    </w:tbl>
    <w:p>
      <w:pPr>
        <w:spacing w:after="20"/>
      </w:pPr>
    </w:p>
    <w:p>
      <w:pPr>
        <w:pStyle w:val="Heading1"/>
      </w:pPr>
      <w:r>
        <w:t>8. Tracking Templates</w:t>
      </w:r>
    </w:p>
    <w:p>
      <w:pPr>
        <w:pStyle w:val="Heading2"/>
      </w:pPr>
      <w:r>
        <w:t>What it means</w:t>
      </w:r>
    </w:p>
    <w:p>
      <w:r>
        <w:t>A Tracking Template is a reusable set of optional fields used to collect repeated client updates—for example daily check-ins, nutrition details, supplements, study logs, practice records, mood scores, or progress measurements.</w:t>
      </w:r>
    </w:p>
    <w:p>
      <w:pPr>
        <w:pStyle w:val="Heading2"/>
      </w:pPr>
      <w:r>
        <w:t>Problem it solves</w:t>
      </w:r>
    </w:p>
    <w:p>
      <w:r>
        <w:t>It replaces inconsistent check-in messages with a repeatable structure that can be compared over time.</w:t>
      </w:r>
    </w:p>
    <w:p>
      <w:pPr>
        <w:pStyle w:val="Heading2"/>
      </w:pPr>
      <w:r>
        <w:t>For professionals</w:t>
      </w:r>
    </w:p>
    <w:p>
      <w:r>
        <w:t>Create or adopt a template, customize its fields, assign it to selected clients, choose the client's access level, optionally share related resources, record entries on behalf of a client, and review data, charts, notes, and progress records.</w:t>
      </w:r>
    </w:p>
    <w:p>
      <w:pPr>
        <w:pStyle w:val="Heading2"/>
      </w:pPr>
      <w:r>
        <w:t>For clients</w:t>
      </w:r>
    </w:p>
    <w:p>
      <w:r>
        <w:t>Open assigned templates, enter the requested update for a date, revise a same-day entry where allowed, and view the professional's shared resources and the history available to you.</w:t>
      </w:r>
    </w:p>
    <w:p>
      <w:pPr>
        <w:pStyle w:val="Heading2"/>
      </w:pPr>
      <w:r>
        <w:t>Main actions</w:t>
      </w:r>
    </w:p>
    <w:p>
      <w:pPr>
        <w:pStyle w:val="ListBullet"/>
      </w:pPr>
      <w:r>
        <w:t>Create Template or adopt a standard template.</w:t>
      </w:r>
    </w:p>
    <w:p>
      <w:pPr>
        <w:pStyle w:val="ListBullet"/>
      </w:pPr>
      <w:r>
        <w:t>Add text, numeric, date, choice, or other supported fields.</w:t>
      </w:r>
    </w:p>
    <w:p>
      <w:pPr>
        <w:pStyle w:val="ListBullet"/>
      </w:pPr>
      <w:r>
        <w:t>Assign/unassign per client.</w:t>
      </w:r>
    </w:p>
    <w:p>
      <w:pPr>
        <w:pStyle w:val="ListBullet"/>
      </w:pPr>
      <w:r>
        <w:t>Choose view/edit access.</w:t>
      </w:r>
    </w:p>
    <w:p>
      <w:pPr>
        <w:pStyle w:val="ListBullet"/>
      </w:pPr>
      <w:r>
        <w:t>Share selected resources with the assignment.</w:t>
      </w:r>
    </w:p>
    <w:p>
      <w:pPr>
        <w:pStyle w:val="ListBullet"/>
      </w:pPr>
      <w:r>
        <w:t>Record or edit an entry.</w:t>
      </w:r>
    </w:p>
    <w:p>
      <w:pPr>
        <w:pStyle w:val="ListBullet"/>
      </w:pPr>
      <w:r>
        <w:t>Review Overview, Data Entries, and Progress.</w:t>
      </w:r>
    </w:p>
    <w:p>
      <w:pPr>
        <w:pStyle w:val="ListBullet"/>
      </w:pPr>
      <w:r>
        <w:t>Keep historical entries when an assignment is removed.</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FF7E0"/>
            <w:vAlign w:val="center"/>
            <w:tcMar>
              <w:top w:w="90" w:type="dxa"/>
              <w:start w:w="120" w:type="dxa"/>
              <w:bottom w:w="90" w:type="dxa"/>
              <w:end w:w="120" w:type="dxa"/>
            </w:tcMar>
          </w:tcPr>
          <w:p>
            <w:pPr>
              <w:spacing w:after="60"/>
            </w:pPr>
            <w:r>
              <w:rPr>
                <w:rFonts w:ascii="Calibri" w:hAnsi="Calibri"/>
                <w:b/>
                <w:color w:val="926200"/>
                <w:sz w:val="21"/>
              </w:rPr>
              <w:t>Important</w:t>
            </w:r>
          </w:p>
          <w:p>
            <w:pPr>
              <w:spacing w:after="0"/>
            </w:pPr>
            <w:r>
              <w:rPr>
                <w:rFonts w:ascii="Calibri" w:hAnsi="Calibri"/>
                <w:color w:val="0F172A"/>
                <w:sz w:val="20"/>
              </w:rPr>
              <w:t>Template fields are intended as optional tracking prompts and should not be treated as medical diagnosis, emergency monitoring, or a substitute for professional judgment.</w:t>
            </w:r>
          </w:p>
        </w:tc>
      </w:tr>
    </w:tbl>
    <w:p>
      <w:pPr>
        <w:spacing w:after="20"/>
      </w:pPr>
    </w:p>
    <w:p>
      <w:pPr>
        <w:pStyle w:val="Heading1"/>
      </w:pPr>
      <w:r>
        <w:t>9. Progress Entries, Analytics, and Insights</w:t>
      </w:r>
    </w:p>
    <w:p>
      <w:pPr>
        <w:pStyle w:val="Heading2"/>
      </w:pPr>
      <w:r>
        <w:t>What it means</w:t>
      </w:r>
    </w:p>
    <w:p>
      <w:r>
        <w:t>A Progress Entry is one dated response to an assigned tracking template. Analytics summarize submitted data—such as recent consistency, numeric trends, and date-based activity—without changing the original entry.</w:t>
      </w:r>
    </w:p>
    <w:p>
      <w:pPr>
        <w:pStyle w:val="Heading2"/>
      </w:pPr>
      <w:r>
        <w:t>Problem it solves</w:t>
      </w:r>
    </w:p>
    <w:p>
      <w:r>
        <w:t>It makes patterns easier to notice and helps conversations focus on consistent action rather than isolated messages.</w:t>
      </w:r>
    </w:p>
    <w:p>
      <w:pPr>
        <w:pStyle w:val="Heading2"/>
      </w:pPr>
      <w:r>
        <w:t>For professionals</w:t>
      </w:r>
    </w:p>
    <w:p>
      <w:r>
        <w:t>Review client entries, filter by date range, compare numeric fields, add or edit an entry when appropriate, and use the professional-edit marker to preserve transparency.</w:t>
      </w:r>
    </w:p>
    <w:p>
      <w:pPr>
        <w:pStyle w:val="Heading2"/>
      </w:pPr>
      <w:r>
        <w:t>For clients</w:t>
      </w:r>
    </w:p>
    <w:p>
      <w:r>
        <w:t>Submit updates and review the history and charts available for assigned templates. Charts appear only when sufficient compatible data exists.</w:t>
      </w:r>
    </w:p>
    <w:p>
      <w:pPr>
        <w:pStyle w:val="Heading2"/>
      </w:pPr>
      <w:r>
        <w:t>Main actions</w:t>
      </w:r>
    </w:p>
    <w:p>
      <w:pPr>
        <w:pStyle w:val="ListBullet"/>
      </w:pPr>
      <w:r>
        <w:t>Start New Entry.</w:t>
      </w:r>
    </w:p>
    <w:p>
      <w:pPr>
        <w:pStyle w:val="ListBullet"/>
      </w:pPr>
      <w:r>
        <w:t>Select the entry date.</w:t>
      </w:r>
    </w:p>
    <w:p>
      <w:pPr>
        <w:pStyle w:val="ListBullet"/>
      </w:pPr>
      <w:r>
        <w:t>Review and edit an existing entry.</w:t>
      </w:r>
    </w:p>
    <w:p>
      <w:pPr>
        <w:pStyle w:val="ListBullet"/>
      </w:pPr>
      <w:r>
        <w:t>Filter by recent ranges.</w:t>
      </w:r>
    </w:p>
    <w:p>
      <w:pPr>
        <w:pStyle w:val="ListBullet"/>
      </w:pPr>
      <w:r>
        <w:t>View numeric summaries and charts.</w:t>
      </w:r>
    </w:p>
    <w:p>
      <w:pPr>
        <w:pStyle w:val="ListBullet"/>
      </w:pPr>
      <w:r>
        <w:t>Use notes to add context.</w:t>
      </w:r>
    </w:p>
    <w:p>
      <w:pPr>
        <w:pStyle w:val="ListBullet"/>
      </w:pPr>
      <w:r>
        <w:t>Recognize that an empty chart means no compatible submitted data, not an error.</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E8EEF5"/>
            <w:vAlign w:val="center"/>
            <w:tcMar>
              <w:top w:w="90" w:type="dxa"/>
              <w:start w:w="120" w:type="dxa"/>
              <w:bottom w:w="90" w:type="dxa"/>
              <w:end w:w="120" w:type="dxa"/>
            </w:tcMar>
          </w:tcPr>
          <w:p>
            <w:pPr>
              <w:spacing w:after="60"/>
            </w:pPr>
            <w:r>
              <w:rPr>
                <w:rFonts w:ascii="Calibri" w:hAnsi="Calibri"/>
                <w:b/>
                <w:color w:val="1E40AF"/>
                <w:sz w:val="21"/>
              </w:rPr>
              <w:t>Marketing rule</w:t>
            </w:r>
          </w:p>
          <w:p>
            <w:pPr>
              <w:spacing w:after="0"/>
            </w:pPr>
            <w:r>
              <w:rPr>
                <w:rFonts w:ascii="Calibri" w:hAnsi="Calibri"/>
                <w:color w:val="0F172A"/>
                <w:sz w:val="20"/>
              </w:rPr>
              <w:t>Do not promise guaranteed results. RepRoot Studio organizes evidence of activity; outcomes still depend on the professional relationship and the client's circumstances.</w:t>
            </w:r>
          </w:p>
        </w:tc>
      </w:tr>
    </w:tbl>
    <w:p>
      <w:pPr>
        <w:spacing w:after="20"/>
      </w:pPr>
    </w:p>
    <w:p>
      <w:pPr>
        <w:pStyle w:val="Heading1"/>
      </w:pPr>
      <w:r>
        <w:t>10. Resource Library</w:t>
      </w:r>
    </w:p>
    <w:p>
      <w:pPr>
        <w:pStyle w:val="Heading2"/>
      </w:pPr>
      <w:r>
        <w:t>What it means</w:t>
      </w:r>
    </w:p>
    <w:p>
      <w:r>
        <w:t>The Resource Library stores reusable professional materials in categories and subcategories. Supported resources can include images, PDFs, links, and YouTube videos, depending on current upload rules.</w:t>
      </w:r>
    </w:p>
    <w:p>
      <w:pPr>
        <w:pStyle w:val="Heading2"/>
      </w:pPr>
      <w:r>
        <w:t>Problem it solves</w:t>
      </w:r>
    </w:p>
    <w:p>
      <w:r>
        <w:t>It prevents professionals from repeatedly searching for the same file or sending every client the same unorganized list of links.</w:t>
      </w:r>
    </w:p>
    <w:p>
      <w:pPr>
        <w:pStyle w:val="Heading2"/>
      </w:pPr>
      <w:r>
        <w:t>For professionals</w:t>
      </w:r>
    </w:p>
    <w:p>
      <w:r>
        <w:t>Create categories, add resources, preview them, assign only relevant resources to selected clients or template assignments, review assigned clients, and unassign without deleting the original resource.</w:t>
      </w:r>
    </w:p>
    <w:p>
      <w:pPr>
        <w:pStyle w:val="Heading2"/>
      </w:pPr>
      <w:r>
        <w:t>For clients</w:t>
      </w:r>
    </w:p>
    <w:p>
      <w:r>
        <w:t>View only the resources the professional has shared with you. Open supported videos in the app and use files/links for the intended professional-client work.</w:t>
      </w:r>
    </w:p>
    <w:p>
      <w:pPr>
        <w:pStyle w:val="Heading2"/>
      </w:pPr>
      <w:r>
        <w:t>Main actions</w:t>
      </w:r>
    </w:p>
    <w:p>
      <w:pPr>
        <w:pStyle w:val="ListBullet"/>
      </w:pPr>
      <w:r>
        <w:t>Add/Edit/Delete Category.</w:t>
      </w:r>
    </w:p>
    <w:p>
      <w:pPr>
        <w:pStyle w:val="ListBullet"/>
      </w:pPr>
      <w:r>
        <w:t>Add/Edit/Delete Resource.</w:t>
      </w:r>
    </w:p>
    <w:p>
      <w:pPr>
        <w:pStyle w:val="ListBullet"/>
      </w:pPr>
      <w:r>
        <w:t>Upload a supported file or add a permitted URL.</w:t>
      </w:r>
    </w:p>
    <w:p>
      <w:pPr>
        <w:pStyle w:val="ListBullet"/>
      </w:pPr>
      <w:r>
        <w:t>Preview before sharing.</w:t>
      </w:r>
    </w:p>
    <w:p>
      <w:pPr>
        <w:pStyle w:val="ListBullet"/>
      </w:pPr>
      <w:r>
        <w:t>Assign to selected clients.</w:t>
      </w:r>
    </w:p>
    <w:p>
      <w:pPr>
        <w:pStyle w:val="ListBullet"/>
      </w:pPr>
      <w:r>
        <w:t>Unassign one client or all clients.</w:t>
      </w:r>
    </w:p>
    <w:p>
      <w:pPr>
        <w:pStyle w:val="ListBullet"/>
      </w:pPr>
      <w:r>
        <w:t>Respect storage and file-size limits.</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FF7E0"/>
            <w:vAlign w:val="center"/>
            <w:tcMar>
              <w:top w:w="90" w:type="dxa"/>
              <w:start w:w="120" w:type="dxa"/>
              <w:bottom w:w="90" w:type="dxa"/>
              <w:end w:w="120" w:type="dxa"/>
            </w:tcMar>
          </w:tcPr>
          <w:p>
            <w:pPr>
              <w:spacing w:after="60"/>
            </w:pPr>
            <w:r>
              <w:rPr>
                <w:rFonts w:ascii="Calibri" w:hAnsi="Calibri"/>
                <w:b/>
                <w:color w:val="926200"/>
                <w:sz w:val="21"/>
              </w:rPr>
              <w:t>Privacy and copyright</w:t>
            </w:r>
          </w:p>
          <w:p>
            <w:pPr>
              <w:spacing w:after="0"/>
            </w:pPr>
            <w:r>
              <w:rPr>
                <w:rFonts w:ascii="Calibri" w:hAnsi="Calibri"/>
                <w:color w:val="0F172A"/>
                <w:sz w:val="20"/>
              </w:rPr>
              <w:t>Upload only content you are authorized to use and share. Do not upload unnecessary identity documents, confidential records, copyrighted material without permission, or unsafe executable files.</w:t>
            </w:r>
          </w:p>
        </w:tc>
      </w:tr>
    </w:tbl>
    <w:p>
      <w:pPr>
        <w:spacing w:after="20"/>
      </w:pPr>
    </w:p>
    <w:p>
      <w:pPr>
        <w:pStyle w:val="Heading1"/>
      </w:pPr>
      <w:r>
        <w:t>11. Chat and Communication</w:t>
      </w:r>
    </w:p>
    <w:p>
      <w:pPr>
        <w:pStyle w:val="Heading2"/>
      </w:pPr>
      <w:r>
        <w:t>What it means</w:t>
      </w:r>
    </w:p>
    <w:p>
      <w:r>
        <w:t>Chat is a stored professional-client conversation linked to the relationship. The current web experience refreshes messages over the API while the panel is open rather than using real-time WebSockets.</w:t>
      </w:r>
    </w:p>
    <w:p>
      <w:pPr>
        <w:pStyle w:val="Heading2"/>
      </w:pPr>
      <w:r>
        <w:t>Problem it solves</w:t>
      </w:r>
    </w:p>
    <w:p>
      <w:r>
        <w:t>It keeps relationship-specific communication beside the client's work instead of mixing it with unrelated personal messages.</w:t>
      </w:r>
    </w:p>
    <w:p>
      <w:pPr>
        <w:pStyle w:val="Heading2"/>
      </w:pPr>
      <w:r>
        <w:t>For professionals</w:t>
      </w:r>
    </w:p>
    <w:p>
      <w:r>
        <w:t>Open a client's Chat tab, send messages, review unread counts, and use notification destinations to return to the relevant conversation.</w:t>
      </w:r>
    </w:p>
    <w:p>
      <w:pPr>
        <w:pStyle w:val="Heading2"/>
      </w:pPr>
      <w:r>
        <w:t>For clients</w:t>
      </w:r>
    </w:p>
    <w:p>
      <w:r>
        <w:t>Message your professional from the Professional area and review new replies through the relevant badge or notification.</w:t>
      </w:r>
    </w:p>
    <w:p>
      <w:pPr>
        <w:pStyle w:val="Heading2"/>
      </w:pPr>
      <w:r>
        <w:t>Main actions</w:t>
      </w:r>
    </w:p>
    <w:p>
      <w:pPr>
        <w:pStyle w:val="ListBullet"/>
      </w:pPr>
      <w:r>
        <w:t>Open Chat.</w:t>
      </w:r>
    </w:p>
    <w:p>
      <w:pPr>
        <w:pStyle w:val="ListBullet"/>
      </w:pPr>
      <w:r>
        <w:t>Send a message.</w:t>
      </w:r>
    </w:p>
    <w:p>
      <w:pPr>
        <w:pStyle w:val="ListBullet"/>
      </w:pPr>
      <w:r>
        <w:t>Review newest and older messages.</w:t>
      </w:r>
    </w:p>
    <w:p>
      <w:pPr>
        <w:pStyle w:val="ListBullet"/>
      </w:pPr>
      <w:r>
        <w:t>Mark the conversation read by opening it.</w:t>
      </w:r>
    </w:p>
    <w:p>
      <w:pPr>
        <w:pStyle w:val="ListBullet"/>
      </w:pPr>
      <w:r>
        <w:t>Use notifications to navigate to the relevant destination.</w:t>
      </w:r>
    </w:p>
    <w:p>
      <w:pPr>
        <w:pStyle w:val="ListBullet"/>
      </w:pPr>
      <w:r>
        <w:t>Avoid sharing passwords, payment credentials, government identifiers, or emergency information.</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DECEC"/>
            <w:vAlign w:val="center"/>
            <w:tcMar>
              <w:top w:w="90" w:type="dxa"/>
              <w:start w:w="120" w:type="dxa"/>
              <w:bottom w:w="90" w:type="dxa"/>
              <w:end w:w="120" w:type="dxa"/>
            </w:tcMar>
          </w:tcPr>
          <w:p>
            <w:pPr>
              <w:spacing w:after="60"/>
            </w:pPr>
            <w:r>
              <w:rPr>
                <w:rFonts w:ascii="Calibri" w:hAnsi="Calibri"/>
                <w:b/>
                <w:color w:val="991B1B"/>
                <w:sz w:val="21"/>
              </w:rPr>
              <w:t>Safety</w:t>
            </w:r>
          </w:p>
          <w:p>
            <w:pPr>
              <w:spacing w:after="0"/>
            </w:pPr>
            <w:r>
              <w:rPr>
                <w:rFonts w:ascii="Calibri" w:hAnsi="Calibri"/>
                <w:color w:val="0F172A"/>
                <w:sz w:val="20"/>
              </w:rPr>
              <w:t>Chat is not an emergency or guaranteed-response channel. Use appropriate emergency services and secure channels for highly sensitive information.</w:t>
            </w:r>
          </w:p>
        </w:tc>
      </w:tr>
    </w:tbl>
    <w:p>
      <w:pPr>
        <w:spacing w:after="20"/>
      </w:pPr>
    </w:p>
    <w:p>
      <w:pPr>
        <w:pStyle w:val="Heading1"/>
      </w:pPr>
      <w:r>
        <w:t>12. Notifications and Badges</w:t>
      </w:r>
    </w:p>
    <w:p>
      <w:pPr>
        <w:pStyle w:val="Heading2"/>
      </w:pPr>
      <w:r>
        <w:t>What it means</w:t>
      </w:r>
    </w:p>
    <w:p>
      <w:r>
        <w:t>Notifications summarize recent actions that may need attention. The bell represents overall application notifications. Section badges separate unread activity by its source, such as Chat or Payments.</w:t>
      </w:r>
    </w:p>
    <w:p>
      <w:pPr>
        <w:pStyle w:val="Heading2"/>
      </w:pPr>
      <w:r>
        <w:t>Problem it solves</w:t>
      </w:r>
    </w:p>
    <w:p>
      <w:r>
        <w:t>They reduce missed follow-ups while still showing where the action belongs.</w:t>
      </w:r>
    </w:p>
    <w:p>
      <w:pPr>
        <w:pStyle w:val="Heading2"/>
      </w:pPr>
      <w:r>
        <w:t>For professionals</w:t>
      </w:r>
    </w:p>
    <w:p>
      <w:r>
        <w:t>Open the bell for a concise summary, follow a destination when one exists, mark all as read to remove unread counts, or clear the list when the history is no longer needed in the panel.</w:t>
      </w:r>
    </w:p>
    <w:p>
      <w:pPr>
        <w:pStyle w:val="Heading2"/>
      </w:pPr>
      <w:r>
        <w:t>For clients</w:t>
      </w:r>
    </w:p>
    <w:p>
      <w:r>
        <w:t>Use the same controls in the client portal. Payment and chat badges should correspond to their respective sections rather than treating every alert as the same type.</w:t>
      </w:r>
    </w:p>
    <w:p>
      <w:pPr>
        <w:pStyle w:val="Heading2"/>
      </w:pPr>
      <w:r>
        <w:t>Main actions</w:t>
      </w:r>
    </w:p>
    <w:p>
      <w:pPr>
        <w:pStyle w:val="ListBullet"/>
      </w:pPr>
      <w:r>
        <w:t>Open Notifications.</w:t>
      </w:r>
    </w:p>
    <w:p>
      <w:pPr>
        <w:pStyle w:val="ListBullet"/>
      </w:pPr>
      <w:r>
        <w:t>Open a relevant notification destination.</w:t>
      </w:r>
    </w:p>
    <w:p>
      <w:pPr>
        <w:pStyle w:val="ListBullet"/>
      </w:pPr>
      <w:r>
        <w:t>Mark as Read / Mark All as Read.</w:t>
      </w:r>
    </w:p>
    <w:p>
      <w:pPr>
        <w:pStyle w:val="ListBullet"/>
      </w:pPr>
      <w:r>
        <w:t>Clear All to empty the panel when available.</w:t>
      </w:r>
    </w:p>
    <w:p>
      <w:pPr>
        <w:pStyle w:val="ListBullet"/>
      </w:pPr>
      <w:r>
        <w:t>Open Chat or Payments to clear context-specific unread items.</w:t>
      </w:r>
    </w:p>
    <w:p>
      <w:pPr>
        <w:pStyle w:val="ListBullet"/>
      </w:pPr>
      <w:r>
        <w:t>Use recent-first ordering.</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E8EEF5"/>
            <w:vAlign w:val="center"/>
            <w:tcMar>
              <w:top w:w="90" w:type="dxa"/>
              <w:start w:w="120" w:type="dxa"/>
              <w:bottom w:w="90" w:type="dxa"/>
              <w:end w:w="120" w:type="dxa"/>
            </w:tcMar>
          </w:tcPr>
          <w:p>
            <w:pPr>
              <w:spacing w:after="60"/>
            </w:pPr>
            <w:r>
              <w:rPr>
                <w:rFonts w:ascii="Calibri" w:hAnsi="Calibri"/>
                <w:b/>
                <w:color w:val="1E40AF"/>
                <w:sz w:val="21"/>
              </w:rPr>
              <w:t>Meaning</w:t>
            </w:r>
          </w:p>
          <w:p>
            <w:pPr>
              <w:spacing w:after="0"/>
            </w:pPr>
            <w:r>
              <w:rPr>
                <w:rFonts w:ascii="Calibri" w:hAnsi="Calibri"/>
                <w:color w:val="0F172A"/>
                <w:sz w:val="20"/>
              </w:rPr>
              <w:t>Unread means 'not yet reviewed in the relevant context'; it does not mean the underlying record is incomplete or incorrect.</w:t>
            </w:r>
          </w:p>
        </w:tc>
      </w:tr>
    </w:tbl>
    <w:p>
      <w:pPr>
        <w:spacing w:after="20"/>
      </w:pPr>
    </w:p>
    <w:p>
      <w:pPr>
        <w:pStyle w:val="Heading1"/>
      </w:pPr>
      <w:r>
        <w:t>13. Scheduling and Meetings</w:t>
      </w:r>
    </w:p>
    <w:p>
      <w:pPr>
        <w:pStyle w:val="Heading2"/>
      </w:pPr>
      <w:r>
        <w:t>What it means</w:t>
      </w:r>
    </w:p>
    <w:p>
      <w:r>
        <w:t>Scheduling combines the professional's weekly availability, days off, meeting defaults, client meeting requests, professional-created meetings, introductory lead meetings, rescheduling, cancellation, and calendar information.</w:t>
      </w:r>
    </w:p>
    <w:p>
      <w:pPr>
        <w:pStyle w:val="Heading2"/>
      </w:pPr>
      <w:r>
        <w:t>Problem it solves</w:t>
      </w:r>
    </w:p>
    <w:p>
      <w:r>
        <w:t>It replaces back-and-forth messages about available times and makes pending versus confirmed meetings explicit.</w:t>
      </w:r>
    </w:p>
    <w:p>
      <w:pPr>
        <w:pStyle w:val="Heading2"/>
      </w:pPr>
      <w:r>
        <w:t>For professionals</w:t>
      </w:r>
    </w:p>
    <w:p>
      <w:r>
        <w:t>Set availability and days off, choose default duration/timezone/location, review client requests, accept or decline them, schedule directly from a client profile, reschedule/cancel, and track upcoming and past meetings.</w:t>
      </w:r>
    </w:p>
    <w:p>
      <w:pPr>
        <w:pStyle w:val="Heading2"/>
      </w:pPr>
      <w:r>
        <w:t>For clients</w:t>
      </w:r>
    </w:p>
    <w:p>
      <w:r>
        <w:t>View available slots, request a 15- or 30-minute meeting where supported, wait for professional approval, and review pending/confirmed meetings on Meetings and the dashboard. If no availability exists, contact the professional and ask them to publish availability.</w:t>
      </w:r>
    </w:p>
    <w:p>
      <w:pPr>
        <w:pStyle w:val="Heading2"/>
      </w:pPr>
      <w:r>
        <w:t>Main actions</w:t>
      </w:r>
    </w:p>
    <w:p>
      <w:pPr>
        <w:pStyle w:val="ListBullet"/>
      </w:pPr>
      <w:r>
        <w:t>Set weekly availability.</w:t>
      </w:r>
    </w:p>
    <w:p>
      <w:pPr>
        <w:pStyle w:val="ListBullet"/>
      </w:pPr>
      <w:r>
        <w:t>Copy availability to other weekdays.</w:t>
      </w:r>
    </w:p>
    <w:p>
      <w:pPr>
        <w:pStyle w:val="ListBullet"/>
      </w:pPr>
      <w:r>
        <w:t>Add weekday or date-specific time off.</w:t>
      </w:r>
    </w:p>
    <w:p>
      <w:pPr>
        <w:pStyle w:val="ListBullet"/>
      </w:pPr>
      <w:r>
        <w:t>Set meeting duration, timezone, and join/location details.</w:t>
      </w:r>
    </w:p>
    <w:p>
      <w:pPr>
        <w:pStyle w:val="ListBullet"/>
      </w:pPr>
      <w:r>
        <w:t>Request a meeting.</w:t>
      </w:r>
    </w:p>
    <w:p>
      <w:pPr>
        <w:pStyle w:val="ListBullet"/>
      </w:pPr>
      <w:r>
        <w:t>Accept/decline a client request.</w:t>
      </w:r>
    </w:p>
    <w:p>
      <w:pPr>
        <w:pStyle w:val="ListBullet"/>
      </w:pPr>
      <w:r>
        <w:t>Schedule, reschedule, or cancel.</w:t>
      </w:r>
    </w:p>
    <w:p>
      <w:pPr>
        <w:pStyle w:val="ListBullet"/>
      </w:pPr>
      <w:r>
        <w:t>Open or export calendar information.</w:t>
      </w:r>
    </w:p>
    <w:p>
      <w:pPr>
        <w:pStyle w:val="ListBullet"/>
      </w:pPr>
      <w:r>
        <w:t>Separate lead introductory meetings from existing-client meetings.</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E8EEF5"/>
            <w:vAlign w:val="center"/>
            <w:tcMar>
              <w:top w:w="90" w:type="dxa"/>
              <w:start w:w="120" w:type="dxa"/>
              <w:bottom w:w="90" w:type="dxa"/>
              <w:end w:w="120" w:type="dxa"/>
            </w:tcMar>
          </w:tcPr>
          <w:p>
            <w:pPr>
              <w:spacing w:after="60"/>
            </w:pPr>
            <w:r>
              <w:rPr>
                <w:rFonts w:ascii="Calibri" w:hAnsi="Calibri"/>
                <w:b/>
                <w:color w:val="1E40AF"/>
                <w:sz w:val="21"/>
              </w:rPr>
              <w:t>Status guide</w:t>
            </w:r>
          </w:p>
          <w:p>
            <w:pPr>
              <w:spacing w:after="0"/>
            </w:pPr>
            <w:r>
              <w:rPr>
                <w:rFonts w:ascii="Calibri" w:hAnsi="Calibri"/>
                <w:color w:val="0F172A"/>
                <w:sz w:val="20"/>
              </w:rPr>
              <w:t>Pending = requested but not confirmed. Confirmed = accepted/scheduled. Cancelled = no longer planned. Completed/Past = historical. A calendar entry does not by itself guarantee attendance.</w:t>
            </w:r>
          </w:p>
        </w:tc>
      </w:tr>
    </w:tbl>
    <w:p>
      <w:pPr>
        <w:spacing w:after="20"/>
      </w:pPr>
    </w:p>
    <w:p>
      <w:pPr>
        <w:pStyle w:val="Heading1"/>
      </w:pPr>
      <w:r>
        <w:t>14. Payment Methods and Payment Requests</w:t>
      </w:r>
    </w:p>
    <w:p>
      <w:pPr>
        <w:pStyle w:val="Heading2"/>
      </w:pPr>
      <w:r>
        <w:t>What it means</w:t>
      </w:r>
    </w:p>
    <w:p>
      <w:r>
        <w:t>A Payment Method explains how a client can pay the professional outside RepRoot Studio, such as an approved manual method. A Payment Request records the amount, currency, purpose, due date, and methods the professional made available to that client.</w:t>
      </w:r>
    </w:p>
    <w:p>
      <w:pPr>
        <w:pStyle w:val="Heading2"/>
      </w:pPr>
      <w:r>
        <w:t>Problem it solves</w:t>
      </w:r>
    </w:p>
    <w:p>
      <w:r>
        <w:t>It gives both sides one reference for what was requested and what payment instructions were shared, without pretending that a manual bank/UPI/cash transfer occurred inside RepRoot Studio.</w:t>
      </w:r>
    </w:p>
    <w:p>
      <w:pPr>
        <w:pStyle w:val="Heading2"/>
      </w:pPr>
      <w:r>
        <w:t>For professionals</w:t>
      </w:r>
    </w:p>
    <w:p>
      <w:r>
        <w:t>Set a reporting currency, configure manual payment methods, share methods with the client, create/edit/cancel requests, review proofs, and acknowledge or reject a submitted transaction.</w:t>
      </w:r>
    </w:p>
    <w:p>
      <w:pPr>
        <w:pStyle w:val="Heading2"/>
      </w:pPr>
      <w:r>
        <w:t>For clients</w:t>
      </w:r>
    </w:p>
    <w:p>
      <w:r>
        <w:t>Open a request, follow the shared payment instructions outside the platform, then submit a transaction reference and/or proof file for the professional to review.</w:t>
      </w:r>
    </w:p>
    <w:p>
      <w:pPr>
        <w:pStyle w:val="Heading2"/>
      </w:pPr>
      <w:r>
        <w:t>Main actions</w:t>
      </w:r>
    </w:p>
    <w:p>
      <w:pPr>
        <w:pStyle w:val="ListBullet"/>
      </w:pPr>
      <w:r>
        <w:t>Set Reporting Currency.</w:t>
      </w:r>
    </w:p>
    <w:p>
      <w:pPr>
        <w:pStyle w:val="ListBullet"/>
      </w:pPr>
      <w:r>
        <w:t>Add/Edit/Enable/Disable Manual Payment Method.</w:t>
      </w:r>
    </w:p>
    <w:p>
      <w:pPr>
        <w:pStyle w:val="ListBullet"/>
      </w:pPr>
      <w:r>
        <w:t>Preview a method before sharing.</w:t>
      </w:r>
    </w:p>
    <w:p>
      <w:pPr>
        <w:pStyle w:val="ListBullet"/>
      </w:pPr>
      <w:r>
        <w:t>Choose client-visible methods.</w:t>
      </w:r>
    </w:p>
    <w:p>
      <w:pPr>
        <w:pStyle w:val="ListBullet"/>
      </w:pPr>
      <w:r>
        <w:t>Request Payment.</w:t>
      </w:r>
    </w:p>
    <w:p>
      <w:pPr>
        <w:pStyle w:val="ListBullet"/>
      </w:pPr>
      <w:r>
        <w:t>Edit an active request.</w:t>
      </w:r>
    </w:p>
    <w:p>
      <w:pPr>
        <w:pStyle w:val="ListBullet"/>
      </w:pPr>
      <w:r>
        <w:t>Cancel a request.</w:t>
      </w:r>
    </w:p>
    <w:p>
      <w:pPr>
        <w:pStyle w:val="ListBullet"/>
      </w:pPr>
      <w:r>
        <w:t>Open Needs Attention or Completed Payments.</w:t>
      </w:r>
    </w:p>
    <w:p>
      <w:pPr>
        <w:pStyle w:val="ListBullet"/>
      </w:pPr>
      <w:r>
        <w:t>Download/print a payment confirmation after acknowledgment.</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FF7E0"/>
            <w:vAlign w:val="center"/>
            <w:tcMar>
              <w:top w:w="90" w:type="dxa"/>
              <w:start w:w="120" w:type="dxa"/>
              <w:bottom w:w="90" w:type="dxa"/>
              <w:end w:w="120" w:type="dxa"/>
            </w:tcMar>
          </w:tcPr>
          <w:p>
            <w:pPr>
              <w:spacing w:after="60"/>
            </w:pPr>
            <w:r>
              <w:rPr>
                <w:rFonts w:ascii="Calibri" w:hAnsi="Calibri"/>
                <w:b/>
                <w:color w:val="926200"/>
                <w:sz w:val="21"/>
              </w:rPr>
              <w:t>Important disclosure</w:t>
            </w:r>
          </w:p>
          <w:p>
            <w:pPr>
              <w:spacing w:after="0"/>
            </w:pPr>
            <w:r>
              <w:rPr>
                <w:rFonts w:ascii="Calibri" w:hAnsi="Calibri"/>
                <w:color w:val="0F172A"/>
                <w:sz w:val="20"/>
              </w:rPr>
              <w:t>RepRoot Studio records the workflow. For manual methods it does not move funds, verify a bank account, guarantee settlement, or replace the provider/bank statement.</w:t>
            </w:r>
          </w:p>
        </w:tc>
      </w:tr>
    </w:tbl>
    <w:p>
      <w:pPr>
        <w:spacing w:after="20"/>
      </w:pPr>
    </w:p>
    <w:p>
      <w:pPr>
        <w:pStyle w:val="Heading1"/>
      </w:pPr>
      <w:r>
        <w:t>15. Payment Proofs, Installments, and Acknowledgment</w:t>
      </w:r>
    </w:p>
    <w:p>
      <w:pPr>
        <w:pStyle w:val="Heading2"/>
      </w:pPr>
      <w:r>
        <w:t>What it means</w:t>
      </w:r>
    </w:p>
    <w:p>
      <w:r>
        <w:t>A Payment Proof is a client-submitted transaction for a payment request. One request can receive multiple proofs/installments. The professional reviews each proof and records whether it is accepted, rejected, partial, fully paid, or overpaid according to the available workflow.</w:t>
      </w:r>
    </w:p>
    <w:p>
      <w:pPr>
        <w:pStyle w:val="Heading2"/>
      </w:pPr>
      <w:r>
        <w:t>Problem it solves</w:t>
      </w:r>
    </w:p>
    <w:p>
      <w:r>
        <w:t>It keeps split payments under one request and prevents the first partial transaction from incorrectly closing the full amount.</w:t>
      </w:r>
    </w:p>
    <w:p>
      <w:pPr>
        <w:pStyle w:val="Heading2"/>
      </w:pPr>
      <w:r>
        <w:t>For professionals</w:t>
      </w:r>
    </w:p>
    <w:p>
      <w:r>
        <w:t>Compare the reference/file with external records, request more information where needed, acknowledge the accepted amount, reject with a reason, monitor the remaining balance, and use the controlled edit window for a completed record.</w:t>
      </w:r>
    </w:p>
    <w:p>
      <w:pPr>
        <w:pStyle w:val="Heading2"/>
      </w:pPr>
      <w:r>
        <w:t>For clients</w:t>
      </w:r>
    </w:p>
    <w:p>
      <w:r>
        <w:t>Submit each transaction separately under the same request. Review accepted and remaining amounts. If rejected, correct the information and resubmit. Open completed items to view and print the confirmation.</w:t>
      </w:r>
    </w:p>
    <w:p>
      <w:pPr>
        <w:pStyle w:val="Heading2"/>
      </w:pPr>
      <w:r>
        <w:t>Main actions</w:t>
      </w:r>
    </w:p>
    <w:p>
      <w:pPr>
        <w:pStyle w:val="ListBullet"/>
      </w:pPr>
      <w:r>
        <w:t>Add another transaction.</w:t>
      </w:r>
    </w:p>
    <w:p>
      <w:pPr>
        <w:pStyle w:val="ListBullet"/>
      </w:pPr>
      <w:r>
        <w:t>Enter transaction/reference ID and amount.</w:t>
      </w:r>
    </w:p>
    <w:p>
      <w:pPr>
        <w:pStyle w:val="ListBullet"/>
      </w:pPr>
      <w:r>
        <w:t>Attach proof where required.</w:t>
      </w:r>
    </w:p>
    <w:p>
      <w:pPr>
        <w:pStyle w:val="ListBullet"/>
      </w:pPr>
      <w:r>
        <w:t>Acknowledge as partial/full/overpaid.</w:t>
      </w:r>
    </w:p>
    <w:p>
      <w:pPr>
        <w:pStyle w:val="ListBullet"/>
      </w:pPr>
      <w:r>
        <w:t>Reject with a clear reason.</w:t>
      </w:r>
    </w:p>
    <w:p>
      <w:pPr>
        <w:pStyle w:val="ListBullet"/>
      </w:pPr>
      <w:r>
        <w:t>Request additional information.</w:t>
      </w:r>
    </w:p>
    <w:p>
      <w:pPr>
        <w:pStyle w:val="ListBullet"/>
      </w:pPr>
      <w:r>
        <w:t>Track accepted and remaining amount.</w:t>
      </w:r>
    </w:p>
    <w:p>
      <w:pPr>
        <w:pStyle w:val="ListBullet"/>
      </w:pPr>
      <w:r>
        <w:t>Close only after the accepted total satisfies the request.</w:t>
      </w:r>
    </w:p>
    <w:p>
      <w:pPr>
        <w:pStyle w:val="ListBullet"/>
      </w:pPr>
      <w:r>
        <w:t>Use the 14-day correction window where implemented; historical financial records then become locked.</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E8EEF5"/>
            <w:vAlign w:val="center"/>
            <w:tcMar>
              <w:top w:w="90" w:type="dxa"/>
              <w:start w:w="120" w:type="dxa"/>
              <w:bottom w:w="90" w:type="dxa"/>
              <w:end w:w="120" w:type="dxa"/>
            </w:tcMar>
          </w:tcPr>
          <w:p>
            <w:pPr>
              <w:spacing w:after="60"/>
            </w:pPr>
            <w:r>
              <w:rPr>
                <w:rFonts w:ascii="Calibri" w:hAnsi="Calibri"/>
                <w:b/>
                <w:color w:val="1E40AF"/>
                <w:sz w:val="21"/>
              </w:rPr>
              <w:t>Receipt wording</w:t>
            </w:r>
          </w:p>
          <w:p>
            <w:pPr>
              <w:spacing w:after="0"/>
            </w:pPr>
            <w:r>
              <w:rPr>
                <w:rFonts w:ascii="Calibri" w:hAnsi="Calibri"/>
                <w:color w:val="0F172A"/>
                <w:sz w:val="20"/>
              </w:rPr>
              <w:t>Call the generated document a 'Payment Confirmation' unless it meets the legal/tax requirements of an invoice or receipt in the applicable jurisdiction.</w:t>
            </w:r>
          </w:p>
        </w:tc>
      </w:tr>
    </w:tbl>
    <w:p>
      <w:pPr>
        <w:spacing w:after="20"/>
      </w:pPr>
    </w:p>
    <w:p>
      <w:pPr>
        <w:pStyle w:val="Heading1"/>
      </w:pPr>
      <w:r>
        <w:t>16. Transactions: Manual Payment Log and Integrated Payments</w:t>
      </w:r>
    </w:p>
    <w:p>
      <w:pPr>
        <w:pStyle w:val="Heading2"/>
      </w:pPr>
      <w:r>
        <w:t>What it means</w:t>
      </w:r>
    </w:p>
    <w:p>
      <w:r>
        <w:t>Transactions separates private professional bookkeeping from provider-integrated payments. Manual Payment Log is for money the professional records themselves; Integrated Payments is reserved for transactions created through an enabled payment provider.</w:t>
      </w:r>
    </w:p>
    <w:p>
      <w:pPr>
        <w:pStyle w:val="Heading2"/>
      </w:pPr>
      <w:r>
        <w:t>Problem it solves</w:t>
      </w:r>
    </w:p>
    <w:p>
      <w:r>
        <w:t>It prevents private bookkeeping entries from appearing as client-submitted payments and prepares the product for provider integration without mixing the two sources.</w:t>
      </w:r>
    </w:p>
    <w:p>
      <w:pPr>
        <w:pStyle w:val="Heading2"/>
      </w:pPr>
      <w:r>
        <w:t>For professionals</w:t>
      </w:r>
    </w:p>
    <w:p>
      <w:r>
        <w:t>Use Manual Payment Log for cash, advance, or externally received money that should remain private. Use the client Payment Request workflow when the client needs to see and respond to a request. Treat Integrated Payments as unavailable until an actual provider flow is enabled and verified.</w:t>
      </w:r>
    </w:p>
    <w:p>
      <w:pPr>
        <w:pStyle w:val="Heading2"/>
      </w:pPr>
      <w:r>
        <w:t>For clients</w:t>
      </w:r>
    </w:p>
    <w:p>
      <w:r>
        <w:t>Clients do not see private Manual Payment Log entries. They see only their own requests, proofs, acknowledged records, activity, and confirmations.</w:t>
      </w:r>
    </w:p>
    <w:p>
      <w:pPr>
        <w:pStyle w:val="Heading2"/>
      </w:pPr>
      <w:r>
        <w:t>Main actions</w:t>
      </w:r>
    </w:p>
    <w:p>
      <w:pPr>
        <w:pStyle w:val="ListBullet"/>
      </w:pPr>
      <w:r>
        <w:t>Record Received Payment privately.</w:t>
      </w:r>
    </w:p>
    <w:p>
      <w:pPr>
        <w:pStyle w:val="ListBullet"/>
      </w:pPr>
      <w:r>
        <w:t>Add transaction date, amount, currency, reference, and internal note.</w:t>
      </w:r>
    </w:p>
    <w:p>
      <w:pPr>
        <w:pStyle w:val="ListBullet"/>
      </w:pPr>
      <w:r>
        <w:t>Review the manual ledger.</w:t>
      </w:r>
    </w:p>
    <w:p>
      <w:pPr>
        <w:pStyle w:val="ListBullet"/>
      </w:pPr>
      <w:r>
        <w:t>Open Integrated Payments only when enabled.</w:t>
      </w:r>
    </w:p>
    <w:p>
      <w:pPr>
        <w:pStyle w:val="ListBullet"/>
      </w:pPr>
      <w:r>
        <w:t>Keep source and visibility clear.</w:t>
      </w:r>
    </w:p>
    <w:p>
      <w:pPr>
        <w:pStyle w:val="ListBullet"/>
      </w:pPr>
      <w:r>
        <w:t>Never use private logs to silently change a client-visible balance without the correct request/acknowledgment workflow.</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FF7E0"/>
            <w:vAlign w:val="center"/>
            <w:tcMar>
              <w:top w:w="90" w:type="dxa"/>
              <w:start w:w="120" w:type="dxa"/>
              <w:bottom w:w="90" w:type="dxa"/>
              <w:end w:w="120" w:type="dxa"/>
            </w:tcMar>
          </w:tcPr>
          <w:p>
            <w:pPr>
              <w:spacing w:after="60"/>
            </w:pPr>
            <w:r>
              <w:rPr>
                <w:rFonts w:ascii="Calibri" w:hAnsi="Calibri"/>
                <w:b/>
                <w:color w:val="926200"/>
                <w:sz w:val="21"/>
              </w:rPr>
              <w:t>Current-state copy</w:t>
            </w:r>
          </w:p>
          <w:p>
            <w:pPr>
              <w:spacing w:after="0"/>
            </w:pPr>
            <w:r>
              <w:rPr>
                <w:rFonts w:ascii="Calibri" w:hAnsi="Calibri"/>
                <w:color w:val="0F172A"/>
                <w:sz w:val="20"/>
              </w:rPr>
              <w:t>Integrated payments are not currently active. Do not claim that RepRoot Studio processes or settles client payments until the gateway is fully enabled and tested.</w:t>
            </w:r>
          </w:p>
        </w:tc>
      </w:tr>
    </w:tbl>
    <w:p>
      <w:pPr>
        <w:spacing w:after="20"/>
      </w:pPr>
    </w:p>
    <w:p>
      <w:pPr>
        <w:pStyle w:val="Heading1"/>
      </w:pPr>
      <w:r>
        <w:t>17. Dashboard</w:t>
      </w:r>
    </w:p>
    <w:p>
      <w:pPr>
        <w:pStyle w:val="Heading2"/>
      </w:pPr>
      <w:r>
        <w:t>What it means</w:t>
      </w:r>
    </w:p>
    <w:p>
      <w:r>
        <w:t>The Dashboard is the professional or client's summary of recent work, items needing attention, and shortcuts to the underlying sections.</w:t>
      </w:r>
    </w:p>
    <w:p>
      <w:pPr>
        <w:pStyle w:val="Heading2"/>
      </w:pPr>
      <w:r>
        <w:t>Problem it solves</w:t>
      </w:r>
    </w:p>
    <w:p>
      <w:r>
        <w:t>It reduces time spent checking every page and helps users decide what to do next.</w:t>
      </w:r>
    </w:p>
    <w:p>
      <w:pPr>
        <w:pStyle w:val="Heading2"/>
      </w:pPr>
      <w:r>
        <w:t>For professionals</w:t>
      </w:r>
    </w:p>
    <w:p>
      <w:r>
        <w:t>Review action-required items, recent messages, pending form requests, client account requests, payment activity, meeting requests, schedules, and operational totals. Open the source section for full detail.</w:t>
      </w:r>
    </w:p>
    <w:p>
      <w:pPr>
        <w:pStyle w:val="Heading2"/>
      </w:pPr>
      <w:r>
        <w:t>For clients</w:t>
      </w:r>
    </w:p>
    <w:p>
      <w:r>
        <w:t>Review assigned work, recent check-ins, meetings, schedules, payment attention items, and shortcuts to templates or professional information.</w:t>
      </w:r>
    </w:p>
    <w:p>
      <w:pPr>
        <w:pStyle w:val="Heading2"/>
      </w:pPr>
      <w:r>
        <w:t>Main actions</w:t>
      </w:r>
    </w:p>
    <w:p>
      <w:pPr>
        <w:pStyle w:val="ListBullet"/>
      </w:pPr>
      <w:r>
        <w:t>Review Action Required first.</w:t>
      </w:r>
    </w:p>
    <w:p>
      <w:pPr>
        <w:pStyle w:val="ListBullet"/>
      </w:pPr>
      <w:r>
        <w:t>Open the relevant source section rather than treating the dashboard as the permanent record.</w:t>
      </w:r>
    </w:p>
    <w:p>
      <w:pPr>
        <w:pStyle w:val="ListBullet"/>
      </w:pPr>
      <w:r>
        <w:t>Use tabs to separate Activity, Payments, and Schedules where shown.</w:t>
      </w:r>
    </w:p>
    <w:p>
      <w:pPr>
        <w:pStyle w:val="ListBullet"/>
      </w:pPr>
      <w:r>
        <w:t>Interpret sample/empty states carefully.</w:t>
      </w:r>
    </w:p>
    <w:p>
      <w:pPr>
        <w:pStyle w:val="ListBullet"/>
      </w:pPr>
      <w:r>
        <w:t>Do not rely on dashboard percentages as medical or financial advice.</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E8EEF5"/>
            <w:vAlign w:val="center"/>
            <w:tcMar>
              <w:top w:w="90" w:type="dxa"/>
              <w:start w:w="120" w:type="dxa"/>
              <w:bottom w:w="90" w:type="dxa"/>
              <w:end w:w="120" w:type="dxa"/>
            </w:tcMar>
          </w:tcPr>
          <w:p>
            <w:pPr>
              <w:spacing w:after="60"/>
            </w:pPr>
            <w:r>
              <w:rPr>
                <w:rFonts w:ascii="Calibri" w:hAnsi="Calibri"/>
                <w:b/>
                <w:color w:val="1E40AF"/>
                <w:sz w:val="21"/>
              </w:rPr>
              <w:t>Storage display</w:t>
            </w:r>
          </w:p>
          <w:p>
            <w:pPr>
              <w:spacing w:after="0"/>
            </w:pPr>
            <w:r>
              <w:rPr>
                <w:rFonts w:ascii="Calibri" w:hAnsi="Calibri"/>
                <w:color w:val="0F172A"/>
                <w:sz w:val="20"/>
              </w:rPr>
              <w:t>Storage/plan usage belongs in the appropriate billing or usage settings rather than being treated as a client-performance metric.</w:t>
            </w:r>
          </w:p>
        </w:tc>
      </w:tr>
    </w:tbl>
    <w:p>
      <w:pPr>
        <w:spacing w:after="20"/>
      </w:pPr>
    </w:p>
    <w:p>
      <w:pPr>
        <w:pStyle w:val="Heading1"/>
      </w:pPr>
      <w:r>
        <w:t>18. Plan Usage, Membership, and Limits</w:t>
      </w:r>
    </w:p>
    <w:p>
      <w:pPr>
        <w:pStyle w:val="Heading2"/>
      </w:pPr>
      <w:r>
        <w:t>What it means</w:t>
      </w:r>
    </w:p>
    <w:p>
      <w:r>
        <w:t>Membership plans control product capacity such as forms, groups, clients, templates/resources, categories, and storage. The backend—not marketing text—must be the single source of truth for enforced limits.</w:t>
      </w:r>
    </w:p>
    <w:p>
      <w:pPr>
        <w:pStyle w:val="Heading2"/>
      </w:pPr>
      <w:r>
        <w:t>Problem it solves</w:t>
      </w:r>
    </w:p>
    <w:p>
      <w:r>
        <w:t>Usage limits keep the service predictable and give users a clear reason to upgrade before a workflow is blocked.</w:t>
      </w:r>
    </w:p>
    <w:p>
      <w:pPr>
        <w:pStyle w:val="Heading2"/>
      </w:pPr>
      <w:r>
        <w:t>For professionals</w:t>
      </w:r>
    </w:p>
    <w:p>
      <w:r>
        <w:t>Review current plan, billing period, expiry date, usage, and plan choices. Warnings should focus on storage at the approved thresholds. Before cancelling/downgrading, review which professional-owned records exceed the Free tier and follow the cleanup or support process.</w:t>
      </w:r>
    </w:p>
    <w:p>
      <w:pPr>
        <w:pStyle w:val="Heading2"/>
      </w:pPr>
      <w:r>
        <w:t>For clients</w:t>
      </w:r>
    </w:p>
    <w:p>
      <w:r>
        <w:t>Client access remains free unless a separate optional client offering is explicitly enabled. A professional's plan must not expose another user's data or silently delete client records without the documented lifecycle process.</w:t>
      </w:r>
    </w:p>
    <w:p>
      <w:pPr>
        <w:pStyle w:val="Heading2"/>
      </w:pPr>
      <w:r>
        <w:t>Main actions</w:t>
      </w:r>
    </w:p>
    <w:p>
      <w:pPr>
        <w:pStyle w:val="ListBullet"/>
      </w:pPr>
      <w:r>
        <w:t>Open Settings &gt; Plan and Billing.</w:t>
      </w:r>
    </w:p>
    <w:p>
      <w:pPr>
        <w:pStyle w:val="ListBullet"/>
      </w:pPr>
      <w:r>
        <w:t>Review Current Usage and Data Usage details.</w:t>
      </w:r>
    </w:p>
    <w:p>
      <w:pPr>
        <w:pStyle w:val="ListBullet"/>
      </w:pPr>
      <w:r>
        <w:t>Choose a billing cycle and plan.</w:t>
      </w:r>
    </w:p>
    <w:p>
      <w:pPr>
        <w:pStyle w:val="ListBullet"/>
      </w:pPr>
      <w:r>
        <w:t>Continue to the payment page when the gateway is enabled.</w:t>
      </w:r>
    </w:p>
    <w:p>
      <w:pPr>
        <w:pStyle w:val="ListBullet"/>
      </w:pPr>
      <w:r>
        <w:t>Review membership expiry.</w:t>
      </w:r>
    </w:p>
    <w:p>
      <w:pPr>
        <w:pStyle w:val="ListBullet"/>
      </w:pPr>
      <w:r>
        <w:t>Cancel membership with downgrade checks.</w:t>
      </w:r>
    </w:p>
    <w:p>
      <w:pPr>
        <w:pStyle w:val="ListBullet"/>
      </w:pPr>
      <w:r>
        <w:t>Resolve over-limit groups/forms/templates/resources/categories before downgrade.</w:t>
      </w:r>
    </w:p>
    <w:p>
      <w:pPr>
        <w:pStyle w:val="ListBullet"/>
      </w:pPr>
      <w:r>
        <w:t>Contact support for storage-related downgrade blockers.</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FF7E0"/>
            <w:vAlign w:val="center"/>
            <w:tcMar>
              <w:top w:w="90" w:type="dxa"/>
              <w:start w:w="120" w:type="dxa"/>
              <w:bottom w:w="90" w:type="dxa"/>
              <w:end w:w="120" w:type="dxa"/>
            </w:tcMar>
          </w:tcPr>
          <w:p>
            <w:pPr>
              <w:spacing w:after="60"/>
            </w:pPr>
            <w:r>
              <w:rPr>
                <w:rFonts w:ascii="Calibri" w:hAnsi="Calibri"/>
                <w:b/>
                <w:color w:val="926200"/>
                <w:sz w:val="21"/>
              </w:rPr>
              <w:t>Marketing caution</w:t>
            </w:r>
          </w:p>
          <w:p>
            <w:pPr>
              <w:spacing w:after="0"/>
            </w:pPr>
            <w:r>
              <w:rPr>
                <w:rFonts w:ascii="Calibri" w:hAnsi="Calibri"/>
                <w:color w:val="0F172A"/>
                <w:sz w:val="20"/>
              </w:rPr>
              <w:t>Plan prices and limits change over time. Pull them from the live backend/API and approved pricing source; do not copy values from historical planning documents.</w:t>
            </w:r>
          </w:p>
        </w:tc>
      </w:tr>
    </w:tbl>
    <w:p>
      <w:pPr>
        <w:spacing w:after="20"/>
      </w:pPr>
    </w:p>
    <w:p>
      <w:pPr>
        <w:pStyle w:val="Heading1"/>
      </w:pPr>
      <w:r>
        <w:t>19. Account Settings, Privacy, and Legal Consent</w:t>
      </w:r>
    </w:p>
    <w:p>
      <w:pPr>
        <w:pStyle w:val="Heading2"/>
      </w:pPr>
      <w:r>
        <w:t>What it means</w:t>
      </w:r>
    </w:p>
    <w:p>
      <w:r>
        <w:t>Settings controls account information, professional profile, security, notifications, payments, plan/billing, legal documents, recycle/lifecycle functions, and support options. Legal acceptance records which version a user accepted and when.</w:t>
      </w:r>
    </w:p>
    <w:p>
      <w:pPr>
        <w:pStyle w:val="Heading2"/>
      </w:pPr>
      <w:r>
        <w:t>Problem it solves</w:t>
      </w:r>
    </w:p>
    <w:p>
      <w:r>
        <w:t>It gives users control over their account and creates evidence when legal documents change, without forcing acceptance on every login when the accepted version is still current.</w:t>
      </w:r>
    </w:p>
    <w:p>
      <w:pPr>
        <w:pStyle w:val="Heading2"/>
      </w:pPr>
      <w:r>
        <w:t>For professionals</w:t>
      </w:r>
    </w:p>
    <w:p>
      <w:r>
        <w:t>Maintain accurate profile and public visibility, update Professional Code, configure notifications/payments, change password, review plan, request cancellation/deletion, and accept a new legal release when prompted.</w:t>
      </w:r>
    </w:p>
    <w:p>
      <w:pPr>
        <w:pStyle w:val="Heading2"/>
      </w:pPr>
      <w:r>
        <w:t>For clients</w:t>
      </w:r>
    </w:p>
    <w:p>
      <w:r>
        <w:t>Review client-specific Terms and Privacy, change password, request permitted profile changes or deletion, manage notification preferences, and accept a newly released version only when required.</w:t>
      </w:r>
    </w:p>
    <w:p>
      <w:pPr>
        <w:pStyle w:val="Heading2"/>
      </w:pPr>
      <w:r>
        <w:t>Main actions</w:t>
      </w:r>
    </w:p>
    <w:p>
      <w:pPr>
        <w:pStyle w:val="ListBullet"/>
      </w:pPr>
      <w:r>
        <w:t>Open current Terms and Privacy.</w:t>
      </w:r>
    </w:p>
    <w:p>
      <w:pPr>
        <w:pStyle w:val="ListBullet"/>
      </w:pPr>
      <w:r>
        <w:t>Review the effective date/version.</w:t>
      </w:r>
    </w:p>
    <w:p>
      <w:pPr>
        <w:pStyle w:val="ListBullet"/>
      </w:pPr>
      <w:r>
        <w:t>Accept and Continue when a newer required version is presented.</w:t>
      </w:r>
    </w:p>
    <w:p>
      <w:pPr>
        <w:pStyle w:val="ListBullet"/>
      </w:pPr>
      <w:r>
        <w:t>View the most recent acceptance date in local time.</w:t>
      </w:r>
    </w:p>
    <w:p>
      <w:pPr>
        <w:pStyle w:val="ListBullet"/>
      </w:pPr>
      <w:r>
        <w:t>Change password securely.</w:t>
      </w:r>
    </w:p>
    <w:p>
      <w:pPr>
        <w:pStyle w:val="ListBullet"/>
      </w:pPr>
      <w:r>
        <w:t>Update notification choices.</w:t>
      </w:r>
    </w:p>
    <w:p>
      <w:pPr>
        <w:pStyle w:val="ListBullet"/>
      </w:pPr>
      <w:r>
        <w:t>Request account deletion through the controlled workflow.</w:t>
      </w:r>
    </w:p>
    <w:p>
      <w:pPr>
        <w:pStyle w:val="ListBullet"/>
      </w:pPr>
      <w:r>
        <w:t>Sign out after using a shared device.</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FF7E0"/>
            <w:vAlign w:val="center"/>
            <w:tcMar>
              <w:top w:w="90" w:type="dxa"/>
              <w:start w:w="120" w:type="dxa"/>
              <w:bottom w:w="90" w:type="dxa"/>
              <w:end w:w="120" w:type="dxa"/>
            </w:tcMar>
          </w:tcPr>
          <w:p>
            <w:pPr>
              <w:spacing w:after="60"/>
            </w:pPr>
            <w:r>
              <w:rPr>
                <w:rFonts w:ascii="Calibri" w:hAnsi="Calibri"/>
                <w:b/>
                <w:color w:val="926200"/>
                <w:sz w:val="21"/>
              </w:rPr>
              <w:t>Consent history</w:t>
            </w:r>
          </w:p>
          <w:p>
            <w:pPr>
              <w:spacing w:after="0"/>
            </w:pPr>
            <w:r>
              <w:rPr>
                <w:rFonts w:ascii="Calibri" w:hAnsi="Calibri"/>
                <w:color w:val="0F172A"/>
                <w:sz w:val="20"/>
              </w:rPr>
              <w:t>Keep the current acceptance and an auditable release history. Do not overwrite evidence in a way that makes it impossible to determine which version was accepted.</w:t>
            </w:r>
          </w:p>
        </w:tc>
      </w:tr>
    </w:tbl>
    <w:p>
      <w:pPr>
        <w:spacing w:after="20"/>
      </w:pPr>
    </w:p>
    <w:p>
      <w:pPr>
        <w:pStyle w:val="Heading1"/>
      </w:pPr>
      <w:r>
        <w:t>20. Recycle Bin, Account Lifecycle, and Deletion</w:t>
      </w:r>
    </w:p>
    <w:p>
      <w:pPr>
        <w:pStyle w:val="Heading2"/>
      </w:pPr>
      <w:r>
        <w:t>What it means</w:t>
      </w:r>
    </w:p>
    <w:p>
      <w:r>
        <w:t>The Recycle Bin and lifecycle controls provide a recovery period for supported deleted/deactivated professional-owned items before permanent deletion. Account cancellation/downgrade uses separate rules to protect plan integrity and client data.</w:t>
      </w:r>
    </w:p>
    <w:p>
      <w:pPr>
        <w:pStyle w:val="Heading2"/>
      </w:pPr>
      <w:r>
        <w:t>Problem it solves</w:t>
      </w:r>
    </w:p>
    <w:p>
      <w:r>
        <w:t>It reduces accidental permanent loss and gives users time to restore supported records.</w:t>
      </w:r>
    </w:p>
    <w:p>
      <w:pPr>
        <w:pStyle w:val="Heading2"/>
      </w:pPr>
      <w:r>
        <w:t>For professionals</w:t>
      </w:r>
    </w:p>
    <w:p>
      <w:r>
        <w:t>Review recycled items, restore where allowed, permanently delete only with confirmation, and follow plan-downgrade cleanup instructions. Use support for blocked storage or complex recovery situations.</w:t>
      </w:r>
    </w:p>
    <w:p>
      <w:pPr>
        <w:pStyle w:val="Heading2"/>
      </w:pPr>
      <w:r>
        <w:t>For clients</w:t>
      </w:r>
    </w:p>
    <w:p>
      <w:r>
        <w:t>Clients can request account deletion through their portal; the professional reviews the request according to the product workflow. Client data must not be exposed or arbitrarily reused during lifecycle actions.</w:t>
      </w:r>
    </w:p>
    <w:p>
      <w:pPr>
        <w:pStyle w:val="Heading2"/>
      </w:pPr>
      <w:r>
        <w:t>Main actions</w:t>
      </w:r>
    </w:p>
    <w:p>
      <w:pPr>
        <w:pStyle w:val="ListBullet"/>
      </w:pPr>
      <w:r>
        <w:t>Move eligible records to Recycle Bin.</w:t>
      </w:r>
    </w:p>
    <w:p>
      <w:pPr>
        <w:pStyle w:val="ListBullet"/>
      </w:pPr>
      <w:r>
        <w:t>Review retention/recovery deadline.</w:t>
      </w:r>
    </w:p>
    <w:p>
      <w:pPr>
        <w:pStyle w:val="ListBullet"/>
      </w:pPr>
      <w:r>
        <w:t>Restore an item.</w:t>
      </w:r>
    </w:p>
    <w:p>
      <w:pPr>
        <w:pStyle w:val="ListBullet"/>
      </w:pPr>
      <w:r>
        <w:t>Permanently delete with explicit confirmation.</w:t>
      </w:r>
    </w:p>
    <w:p>
      <w:pPr>
        <w:pStyle w:val="ListBullet"/>
      </w:pPr>
      <w:r>
        <w:t>Approve/decline client deletion requests.</w:t>
      </w:r>
    </w:p>
    <w:p>
      <w:pPr>
        <w:pStyle w:val="ListBullet"/>
      </w:pPr>
      <w:r>
        <w:t>Understand that Recycle Bin is not a database backup.</w:t>
      </w:r>
    </w:p>
    <w:p>
      <w:pPr>
        <w:pStyle w:val="ListBullet"/>
      </w:pPr>
      <w:r>
        <w:t>Use provider backups for disaster recovery.</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DECEC"/>
            <w:vAlign w:val="center"/>
            <w:tcMar>
              <w:top w:w="90" w:type="dxa"/>
              <w:start w:w="120" w:type="dxa"/>
              <w:bottom w:w="90" w:type="dxa"/>
              <w:end w:w="120" w:type="dxa"/>
            </w:tcMar>
          </w:tcPr>
          <w:p>
            <w:pPr>
              <w:spacing w:after="60"/>
            </w:pPr>
            <w:r>
              <w:rPr>
                <w:rFonts w:ascii="Calibri" w:hAnsi="Calibri"/>
                <w:b/>
                <w:color w:val="991B1B"/>
                <w:sz w:val="21"/>
              </w:rPr>
              <w:t>Backup distinction</w:t>
            </w:r>
          </w:p>
          <w:p>
            <w:pPr>
              <w:spacing w:after="0"/>
            </w:pPr>
            <w:r>
              <w:rPr>
                <w:rFonts w:ascii="Calibri" w:hAnsi="Calibri"/>
                <w:color w:val="0F172A"/>
                <w:sz w:val="20"/>
              </w:rPr>
              <w:t>Recycle Bin protects selected application deletions. It cannot recover a corrupted database, failed infrastructure, or lost object-storage bucket; those require tested provider backups.</w:t>
            </w:r>
          </w:p>
        </w:tc>
      </w:tr>
    </w:tbl>
    <w:p>
      <w:pPr>
        <w:spacing w:after="20"/>
      </w:pPr>
    </w:p>
    <w:p>
      <w:pPr>
        <w:pStyle w:val="Heading1"/>
      </w:pPr>
      <w:r>
        <w:t>21. Feedback, Bug Reports, and Support</w:t>
      </w:r>
    </w:p>
    <w:p>
      <w:pPr>
        <w:pStyle w:val="Heading2"/>
      </w:pPr>
      <w:r>
        <w:t>What it means</w:t>
      </w:r>
    </w:p>
    <w:p>
      <w:r>
        <w:t>Support incidents let users submit feedback or a bug report and keep the conversation attached to a reference. Internal staff tools can review incidents, subject to permissions and support-access consent controls.</w:t>
      </w:r>
    </w:p>
    <w:p>
      <w:pPr>
        <w:pStyle w:val="Heading2"/>
      </w:pPr>
      <w:r>
        <w:t>Problem it solves</w:t>
      </w:r>
    </w:p>
    <w:p>
      <w:r>
        <w:t>It gives users a structured way to report a problem without losing the context in informal messages.</w:t>
      </w:r>
    </w:p>
    <w:p>
      <w:pPr>
        <w:pStyle w:val="Heading2"/>
      </w:pPr>
      <w:r>
        <w:t>For professionals</w:t>
      </w:r>
    </w:p>
    <w:p>
      <w:r>
        <w:t>Describe the problem, expected behavior, actual behavior, steps to reproduce, time, affected section, and safe screenshots. Never include passwords, OTPs, tokens, full payment credentials, or unnecessary sensitive client data.</w:t>
      </w:r>
    </w:p>
    <w:p>
      <w:pPr>
        <w:pStyle w:val="Heading2"/>
      </w:pPr>
      <w:r>
        <w:t>For clients</w:t>
      </w:r>
    </w:p>
    <w:p>
      <w:r>
        <w:t>Use the same safe reporting approach and include the displayed error reference when available.</w:t>
      </w:r>
    </w:p>
    <w:p>
      <w:pPr>
        <w:pStyle w:val="Heading2"/>
      </w:pPr>
      <w:r>
        <w:t>Main actions</w:t>
      </w:r>
    </w:p>
    <w:p>
      <w:pPr>
        <w:pStyle w:val="ListBullet"/>
      </w:pPr>
      <w:r>
        <w:t>Create feedback or bug report.</w:t>
      </w:r>
    </w:p>
    <w:p>
      <w:pPr>
        <w:pStyle w:val="ListBullet"/>
      </w:pPr>
      <w:r>
        <w:t>Choose an accurate subject/category.</w:t>
      </w:r>
    </w:p>
    <w:p>
      <w:pPr>
        <w:pStyle w:val="ListBullet"/>
      </w:pPr>
      <w:r>
        <w:t>Add reproduction steps.</w:t>
      </w:r>
    </w:p>
    <w:p>
      <w:pPr>
        <w:pStyle w:val="ListBullet"/>
      </w:pPr>
      <w:r>
        <w:t>Review support replies.</w:t>
      </w:r>
    </w:p>
    <w:p>
      <w:pPr>
        <w:pStyle w:val="ListBullet"/>
      </w:pPr>
      <w:r>
        <w:t>Grant time-limited support access only when needed and understood.</w:t>
      </w:r>
    </w:p>
    <w:p>
      <w:pPr>
        <w:pStyle w:val="ListBullet"/>
      </w:pPr>
      <w:r>
        <w:t>Close resolved incidents.</w:t>
      </w:r>
    </w:p>
    <w:p>
      <w:pPr>
        <w:pStyle w:val="ListBullet"/>
      </w:pPr>
      <w:r>
        <w:t>Use the Studio support address shown in the application for role-specific help.</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E8EEF5"/>
            <w:vAlign w:val="center"/>
            <w:tcMar>
              <w:top w:w="90" w:type="dxa"/>
              <w:start w:w="120" w:type="dxa"/>
              <w:bottom w:w="90" w:type="dxa"/>
              <w:end w:w="120" w:type="dxa"/>
            </w:tcMar>
          </w:tcPr>
          <w:p>
            <w:pPr>
              <w:spacing w:after="60"/>
            </w:pPr>
            <w:r>
              <w:rPr>
                <w:rFonts w:ascii="Calibri" w:hAnsi="Calibri"/>
                <w:b/>
                <w:color w:val="1E40AF"/>
                <w:sz w:val="21"/>
              </w:rPr>
              <w:t>Error references</w:t>
            </w:r>
          </w:p>
          <w:p>
            <w:pPr>
              <w:spacing w:after="0"/>
            </w:pPr>
            <w:r>
              <w:rPr>
                <w:rFonts w:ascii="Calibri" w:hAnsi="Calibri"/>
                <w:color w:val="0F172A"/>
                <w:sz w:val="20"/>
              </w:rPr>
              <w:t>An error code/reference helps support find a log. It does not explain the cause to the user and should never expose a stack trace or secret.</w:t>
            </w:r>
          </w:p>
        </w:tc>
      </w:tr>
    </w:tbl>
    <w:p>
      <w:pPr>
        <w:spacing w:after="20"/>
      </w:pPr>
    </w:p>
    <w:p>
      <w:pPr>
        <w:pStyle w:val="Heading1"/>
      </w:pPr>
      <w:r>
        <w:t>22. Recommended onboarding journeys</w:t>
      </w:r>
    </w:p>
    <w:p>
      <w:pPr>
        <w:pStyle w:val="Heading2"/>
      </w:pPr>
      <w:r>
        <w:t>Professional: first successful day</w:t>
      </w:r>
    </w:p>
    <w:p>
      <w:pPr>
        <w:pStyle w:val="ListNumber"/>
      </w:pPr>
      <w:r>
        <w:t>Create and verify the professional account; review Professional Terms and Privacy.</w:t>
      </w:r>
    </w:p>
    <w:p>
      <w:pPr>
        <w:pStyle w:val="ListNumber"/>
      </w:pPr>
      <w:r>
        <w:t>Complete profile setup and create a unique Professional Code.</w:t>
      </w:r>
    </w:p>
    <w:p>
      <w:pPr>
        <w:pStyle w:val="ListNumber"/>
      </w:pPr>
      <w:r>
        <w:t>Create one clearly named group and its Client Registration Form.</w:t>
      </w:r>
    </w:p>
    <w:p>
      <w:pPr>
        <w:pStyle w:val="ListNumber"/>
      </w:pPr>
      <w:r>
        <w:t>Create one Lead Form and copy its public URL.</w:t>
      </w:r>
    </w:p>
    <w:p>
      <w:pPr>
        <w:pStyle w:val="ListNumber"/>
      </w:pPr>
      <w:r>
        <w:t>Create or adopt one tracking template.</w:t>
      </w:r>
    </w:p>
    <w:p>
      <w:pPr>
        <w:pStyle w:val="ListNumber"/>
      </w:pPr>
      <w:r>
        <w:t>Add one client, grant portal access, and assign the template.</w:t>
      </w:r>
    </w:p>
    <w:p>
      <w:pPr>
        <w:pStyle w:val="ListNumber"/>
      </w:pPr>
      <w:r>
        <w:t>Add one useful resource and share it with the client.</w:t>
      </w:r>
    </w:p>
    <w:p>
      <w:pPr>
        <w:pStyle w:val="ListNumber"/>
      </w:pPr>
      <w:r>
        <w:t>Set availability and meeting defaults.</w:t>
      </w:r>
    </w:p>
    <w:p>
      <w:pPr>
        <w:pStyle w:val="ListNumber"/>
      </w:pPr>
      <w:r>
        <w:t>Configure a reporting currency and one manual payment method only if payments are part of the relationship.</w:t>
      </w:r>
    </w:p>
    <w:p>
      <w:pPr>
        <w:pStyle w:val="ListNumber"/>
      </w:pPr>
      <w:r>
        <w:t>Send a welcome chat message and confirm the client can see only their intended information.</w:t>
      </w:r>
    </w:p>
    <w:p>
      <w:pPr>
        <w:pStyle w:val="Heading2"/>
      </w:pPr>
      <w:r>
        <w:t>Client: first successful day</w:t>
      </w:r>
    </w:p>
    <w:p>
      <w:pPr>
        <w:pStyle w:val="ListNumber"/>
      </w:pPr>
      <w:r>
        <w:t>Use the Professional Code and provided credentials to sign in.</w:t>
      </w:r>
    </w:p>
    <w:p>
      <w:pPr>
        <w:pStyle w:val="ListNumber"/>
      </w:pPr>
      <w:r>
        <w:t>Change the temporary password when prompted.</w:t>
      </w:r>
    </w:p>
    <w:p>
      <w:pPr>
        <w:pStyle w:val="ListNumber"/>
      </w:pPr>
      <w:r>
        <w:t>Review Client Terms and Privacy and accept the current required version.</w:t>
      </w:r>
    </w:p>
    <w:p>
      <w:pPr>
        <w:pStyle w:val="ListNumber"/>
      </w:pPr>
      <w:r>
        <w:t>Open the Dashboard, Templates, Meetings, Professional, and Settings sections.</w:t>
      </w:r>
    </w:p>
    <w:p>
      <w:pPr>
        <w:pStyle w:val="ListNumber"/>
      </w:pPr>
      <w:r>
        <w:t>Submit one template/check-in entry.</w:t>
      </w:r>
    </w:p>
    <w:p>
      <w:pPr>
        <w:pStyle w:val="ListNumber"/>
      </w:pPr>
      <w:r>
        <w:t>Open a shared resource and send a message.</w:t>
      </w:r>
    </w:p>
    <w:p>
      <w:pPr>
        <w:pStyle w:val="ListNumber"/>
      </w:pPr>
      <w:r>
        <w:t>Request a meeting only from available slots and recognize that it remains pending until accepted.</w:t>
      </w:r>
    </w:p>
    <w:p>
      <w:pPr>
        <w:pStyle w:val="ListNumber"/>
      </w:pPr>
      <w:r>
        <w:t>Review any payment request carefully and submit proof only after paying through the professional's stated external method.</w:t>
      </w:r>
    </w:p>
    <w:p>
      <w:pPr>
        <w:pStyle w:val="Heading1"/>
      </w:pPr>
      <w:r>
        <w:t>23. Marketing message library</w:t>
      </w:r>
    </w:p>
    <w:p>
      <w:pPr>
        <w:pStyle w:val="Heading2"/>
      </w:pPr>
      <w:r>
        <w:t>Hero options</w:t>
      </w:r>
    </w:p>
    <w:p>
      <w:pPr>
        <w:pStyle w:val="ListBullet"/>
      </w:pPr>
      <w:r>
        <w:t>Manage every client relationship from enquiry to measurable progress.</w:t>
      </w:r>
    </w:p>
    <w:p>
      <w:pPr>
        <w:pStyle w:val="ListBullet"/>
      </w:pPr>
      <w:r>
        <w:t>One workspace for leads, clients, check-ins, resources, meetings, messages, and payment records.</w:t>
      </w:r>
    </w:p>
    <w:p>
      <w:pPr>
        <w:pStyle w:val="ListBullet"/>
      </w:pPr>
      <w:r>
        <w:t>Turn scattered client operations into a clear, repeatable journey.</w:t>
      </w:r>
    </w:p>
    <w:p>
      <w:pPr>
        <w:pStyle w:val="Heading2"/>
      </w:pPr>
      <w:r>
        <w:t>Feature blurbs</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shd w:fill="E8EEF5"/>
            <w:vAlign w:val="center"/>
            <w:tcMar>
              <w:top w:w="90" w:type="dxa"/>
              <w:start w:w="120" w:type="dxa"/>
              <w:bottom w:w="90" w:type="dxa"/>
              <w:end w:w="120" w:type="dxa"/>
            </w:tcMar>
          </w:tcPr>
          <w:p>
            <w:r>
              <w:t>Feature</w:t>
            </w:r>
          </w:p>
        </w:tc>
        <w:tc>
          <w:tcPr>
            <w:tcW w:type="dxa" w:w="7260"/>
            <w:shd w:fill="E8EEF5"/>
            <w:vAlign w:val="center"/>
            <w:tcMar>
              <w:top w:w="90" w:type="dxa"/>
              <w:start w:w="120" w:type="dxa"/>
              <w:bottom w:w="90" w:type="dxa"/>
              <w:end w:w="120" w:type="dxa"/>
            </w:tcMar>
          </w:tcPr>
          <w:p>
            <w:r>
              <w:t>Approved description</w:t>
            </w:r>
          </w:p>
        </w:tc>
      </w:tr>
      <w:tr>
        <w:tc>
          <w:tcPr>
            <w:tcW w:type="dxa" w:w="2100"/>
            <w:vAlign w:val="center"/>
            <w:tcMar>
              <w:top w:w="90" w:type="dxa"/>
              <w:start w:w="120" w:type="dxa"/>
              <w:bottom w:w="90" w:type="dxa"/>
              <w:end w:w="120" w:type="dxa"/>
            </w:tcMar>
          </w:tcPr>
          <w:p>
            <w:r>
              <w:t>Lead Forms</w:t>
            </w:r>
          </w:p>
        </w:tc>
        <w:tc>
          <w:tcPr>
            <w:tcW w:type="dxa" w:w="7260"/>
            <w:vAlign w:val="center"/>
            <w:tcMar>
              <w:top w:w="90" w:type="dxa"/>
              <w:start w:w="120" w:type="dxa"/>
              <w:bottom w:w="90" w:type="dxa"/>
              <w:end w:w="120" w:type="dxa"/>
            </w:tcMar>
          </w:tcPr>
          <w:p>
            <w:r>
              <w:t>Collect consistent enquiries through shareable forms and review every applicant before creating client access.</w:t>
            </w:r>
          </w:p>
        </w:tc>
      </w:tr>
      <w:tr>
        <w:tc>
          <w:tcPr>
            <w:tcW w:type="dxa" w:w="2100"/>
            <w:vAlign w:val="center"/>
            <w:tcMar>
              <w:top w:w="90" w:type="dxa"/>
              <w:start w:w="120" w:type="dxa"/>
              <w:bottom w:w="90" w:type="dxa"/>
              <w:end w:w="120" w:type="dxa"/>
            </w:tcMar>
          </w:tcPr>
          <w:p>
            <w:r>
              <w:t>Groups</w:t>
            </w:r>
          </w:p>
        </w:tc>
        <w:tc>
          <w:tcPr>
            <w:tcW w:type="dxa" w:w="7260"/>
            <w:vAlign w:val="center"/>
            <w:tcMar>
              <w:top w:w="90" w:type="dxa"/>
              <w:start w:w="120" w:type="dxa"/>
              <w:bottom w:w="90" w:type="dxa"/>
              <w:end w:w="120" w:type="dxa"/>
            </w:tcMar>
          </w:tcPr>
          <w:p>
            <w:r>
              <w:t>Organize clients by program, cohort, service, or goal—with a registration process that fits each group.</w:t>
            </w:r>
          </w:p>
        </w:tc>
      </w:tr>
      <w:tr>
        <w:tc>
          <w:tcPr>
            <w:tcW w:type="dxa" w:w="2100"/>
            <w:vAlign w:val="center"/>
            <w:tcMar>
              <w:top w:w="90" w:type="dxa"/>
              <w:start w:w="120" w:type="dxa"/>
              <w:bottom w:w="90" w:type="dxa"/>
              <w:end w:w="120" w:type="dxa"/>
            </w:tcMar>
          </w:tcPr>
          <w:p>
            <w:r>
              <w:t>Tracking Templates</w:t>
            </w:r>
          </w:p>
        </w:tc>
        <w:tc>
          <w:tcPr>
            <w:tcW w:type="dxa" w:w="7260"/>
            <w:vAlign w:val="center"/>
            <w:tcMar>
              <w:top w:w="90" w:type="dxa"/>
              <w:start w:w="120" w:type="dxa"/>
              <w:bottom w:w="90" w:type="dxa"/>
              <w:end w:w="120" w:type="dxa"/>
            </w:tcMar>
          </w:tcPr>
          <w:p>
            <w:r>
              <w:t>Create repeatable check-ins that turn everyday updates into an understandable progress history.</w:t>
            </w:r>
          </w:p>
        </w:tc>
      </w:tr>
      <w:tr>
        <w:tc>
          <w:tcPr>
            <w:tcW w:type="dxa" w:w="2100"/>
            <w:vAlign w:val="center"/>
            <w:tcMar>
              <w:top w:w="90" w:type="dxa"/>
              <w:start w:w="120" w:type="dxa"/>
              <w:bottom w:w="90" w:type="dxa"/>
              <w:end w:w="120" w:type="dxa"/>
            </w:tcMar>
          </w:tcPr>
          <w:p>
            <w:r>
              <w:t>Client Portal</w:t>
            </w:r>
          </w:p>
        </w:tc>
        <w:tc>
          <w:tcPr>
            <w:tcW w:type="dxa" w:w="7260"/>
            <w:vAlign w:val="center"/>
            <w:tcMar>
              <w:top w:w="90" w:type="dxa"/>
              <w:start w:w="120" w:type="dxa"/>
              <w:bottom w:w="90" w:type="dxa"/>
              <w:end w:w="120" w:type="dxa"/>
            </w:tcMar>
          </w:tcPr>
          <w:p>
            <w:r>
              <w:t>Give every client a focused space for assigned work, resources, meetings, messages, and payment requests.</w:t>
            </w:r>
          </w:p>
        </w:tc>
      </w:tr>
      <w:tr>
        <w:tc>
          <w:tcPr>
            <w:tcW w:type="dxa" w:w="2100"/>
            <w:vAlign w:val="center"/>
            <w:tcMar>
              <w:top w:w="90" w:type="dxa"/>
              <w:start w:w="120" w:type="dxa"/>
              <w:bottom w:w="90" w:type="dxa"/>
              <w:end w:w="120" w:type="dxa"/>
            </w:tcMar>
          </w:tcPr>
          <w:p>
            <w:r>
              <w:t>Scheduling</w:t>
            </w:r>
          </w:p>
        </w:tc>
        <w:tc>
          <w:tcPr>
            <w:tcW w:type="dxa" w:w="7260"/>
            <w:vAlign w:val="center"/>
            <w:tcMar>
              <w:top w:w="90" w:type="dxa"/>
              <w:start w:w="120" w:type="dxa"/>
              <w:bottom w:w="90" w:type="dxa"/>
              <w:end w:w="120" w:type="dxa"/>
            </w:tcMar>
          </w:tcPr>
          <w:p>
            <w:r>
              <w:t>Publish availability, receive meeting requests, and keep pending, confirmed, rescheduled, and past meetings clear.</w:t>
            </w:r>
          </w:p>
        </w:tc>
      </w:tr>
      <w:tr>
        <w:tc>
          <w:tcPr>
            <w:tcW w:type="dxa" w:w="2100"/>
            <w:vAlign w:val="center"/>
            <w:tcMar>
              <w:top w:w="90" w:type="dxa"/>
              <w:start w:w="120" w:type="dxa"/>
              <w:bottom w:w="90" w:type="dxa"/>
              <w:end w:w="120" w:type="dxa"/>
            </w:tcMar>
          </w:tcPr>
          <w:p>
            <w:r>
              <w:t>Payment Records</w:t>
            </w:r>
          </w:p>
        </w:tc>
        <w:tc>
          <w:tcPr>
            <w:tcW w:type="dxa" w:w="7260"/>
            <w:vAlign w:val="center"/>
            <w:tcMar>
              <w:top w:w="90" w:type="dxa"/>
              <w:start w:w="120" w:type="dxa"/>
              <w:bottom w:w="90" w:type="dxa"/>
              <w:end w:w="120" w:type="dxa"/>
            </w:tcMar>
          </w:tcPr>
          <w:p>
            <w:r>
              <w:t>Track requests, installments, proofs, acknowledgments, and confirmations without confusing manual records with processed payments.</w:t>
            </w:r>
          </w:p>
        </w:tc>
      </w:tr>
      <w:tr>
        <w:tc>
          <w:tcPr>
            <w:tcW w:type="dxa" w:w="2100"/>
            <w:vAlign w:val="center"/>
            <w:tcMar>
              <w:top w:w="90" w:type="dxa"/>
              <w:start w:w="120" w:type="dxa"/>
              <w:bottom w:w="90" w:type="dxa"/>
              <w:end w:w="120" w:type="dxa"/>
            </w:tcMar>
          </w:tcPr>
          <w:p>
            <w:r>
              <w:t>Privacy by role</w:t>
            </w:r>
          </w:p>
        </w:tc>
        <w:tc>
          <w:tcPr>
            <w:tcW w:type="dxa" w:w="7260"/>
            <w:vAlign w:val="center"/>
            <w:tcMar>
              <w:top w:w="90" w:type="dxa"/>
              <w:start w:w="120" w:type="dxa"/>
              <w:bottom w:w="90" w:type="dxa"/>
              <w:end w:w="120" w:type="dxa"/>
            </w:tcMar>
          </w:tcPr>
          <w:p>
            <w:r>
              <w:t>Keep professional-only notes and records private while sharing only the content intended for each client.</w:t>
            </w:r>
          </w:p>
        </w:tc>
      </w:tr>
    </w:tbl>
    <w:p>
      <w:pPr>
        <w:pStyle w:val="Heading2"/>
      </w:pPr>
      <w:r>
        <w:t>Claims to avoid</w:t>
      </w:r>
    </w:p>
    <w:p>
      <w:pPr>
        <w:pStyle w:val="ListBullet"/>
      </w:pPr>
      <w:r>
        <w:t>Do not claim guaranteed client results, revenue growth, medical outcomes, or complete regulatory compliance.</w:t>
      </w:r>
    </w:p>
    <w:p>
      <w:pPr>
        <w:pStyle w:val="ListBullet"/>
      </w:pPr>
      <w:r>
        <w:t>Do not claim that RepRoot Studio processes manual client payments; it records instructions and evidence unless a verified integrated provider is active.</w:t>
      </w:r>
    </w:p>
    <w:p>
      <w:pPr>
        <w:pStyle w:val="ListBullet"/>
      </w:pPr>
      <w:r>
        <w:t>Do not call a payment confirmation a tax invoice or bank receipt unless it legally qualifies.</w:t>
      </w:r>
    </w:p>
    <w:p>
      <w:pPr>
        <w:pStyle w:val="ListBullet"/>
      </w:pPr>
      <w:r>
        <w:t>Do not claim end-to-end encryption, zero data risk, hacker-proof security, or instant/live chat unless technically verified.</w:t>
      </w:r>
    </w:p>
    <w:p>
      <w:pPr>
        <w:pStyle w:val="ListBullet"/>
      </w:pPr>
      <w:r>
        <w:t>Do not publish plan prices, limits, or regional availability from an old document; use the current approved backend source.</w:t>
      </w:r>
    </w:p>
    <w:p>
      <w:pPr>
        <w:pStyle w:val="ListBullet"/>
      </w:pPr>
      <w:r>
        <w:t>Do not present sample dashboard numbers as actual customer results.</w:t>
      </w:r>
    </w:p>
    <w:p>
      <w:pPr>
        <w:pStyle w:val="Heading1"/>
      </w:pPr>
      <w:r>
        <w:t>24. Help-center article map</w:t>
      </w:r>
    </w:p>
    <w:tbl>
      <w:tblPr>
        <w:tblStyle w:val="TableGrid"/>
        <w:tblW w:type="dxa" w:w="9360"/>
        <w:jc w:val="left"/>
        <w:tblLayout w:type="fixed"/>
        <w:tblLook w:firstColumn="1" w:firstRow="1" w:lastColumn="0" w:lastRow="0" w:noHBand="0" w:noVBand="1" w:val="04A0"/>
        <w:tblInd w:w="120" w:type="dxa"/>
      </w:tblPr>
      <w:tblGrid>
        <w:gridCol w:w="2350"/>
        <w:gridCol w:w="7010"/>
      </w:tblGrid>
      <w:tr>
        <w:trPr>
          <w:tblHeader w:val="true"/>
        </w:trPr>
        <w:tc>
          <w:tcPr>
            <w:tcW w:type="dxa" w:w="2350"/>
            <w:shd w:fill="E8EEF5"/>
            <w:vAlign w:val="center"/>
            <w:tcMar>
              <w:top w:w="90" w:type="dxa"/>
              <w:start w:w="120" w:type="dxa"/>
              <w:bottom w:w="90" w:type="dxa"/>
              <w:end w:w="120" w:type="dxa"/>
            </w:tcMar>
          </w:tcPr>
          <w:p>
            <w:r>
              <w:t>Help category</w:t>
            </w:r>
          </w:p>
        </w:tc>
        <w:tc>
          <w:tcPr>
            <w:tcW w:type="dxa" w:w="7010"/>
            <w:shd w:fill="E8EEF5"/>
            <w:vAlign w:val="center"/>
            <w:tcMar>
              <w:top w:w="90" w:type="dxa"/>
              <w:start w:w="120" w:type="dxa"/>
              <w:bottom w:w="90" w:type="dxa"/>
              <w:end w:w="120" w:type="dxa"/>
            </w:tcMar>
          </w:tcPr>
          <w:p>
            <w:r>
              <w:t>Suggested articles</w:t>
            </w:r>
          </w:p>
        </w:tc>
      </w:tr>
      <w:tr>
        <w:tc>
          <w:tcPr>
            <w:tcW w:type="dxa" w:w="2350"/>
            <w:vAlign w:val="center"/>
            <w:tcMar>
              <w:top w:w="90" w:type="dxa"/>
              <w:start w:w="120" w:type="dxa"/>
              <w:bottom w:w="90" w:type="dxa"/>
              <w:end w:w="120" w:type="dxa"/>
            </w:tcMar>
          </w:tcPr>
          <w:p>
            <w:r>
              <w:t>Getting started</w:t>
            </w:r>
          </w:p>
        </w:tc>
        <w:tc>
          <w:tcPr>
            <w:tcW w:type="dxa" w:w="7010"/>
            <w:vAlign w:val="center"/>
            <w:tcMar>
              <w:top w:w="90" w:type="dxa"/>
              <w:start w:w="120" w:type="dxa"/>
              <w:bottom w:w="90" w:type="dxa"/>
              <w:end w:w="120" w:type="dxa"/>
            </w:tcMar>
          </w:tcPr>
          <w:p>
            <w:r>
              <w:t>Professional setup; Client first login; Professional Code; Navigation overview</w:t>
            </w:r>
          </w:p>
        </w:tc>
      </w:tr>
      <w:tr>
        <w:tc>
          <w:tcPr>
            <w:tcW w:type="dxa" w:w="2350"/>
            <w:vAlign w:val="center"/>
            <w:tcMar>
              <w:top w:w="90" w:type="dxa"/>
              <w:start w:w="120" w:type="dxa"/>
              <w:bottom w:w="90" w:type="dxa"/>
              <w:end w:w="120" w:type="dxa"/>
            </w:tcMar>
          </w:tcPr>
          <w:p>
            <w:r>
              <w:t>Leads and onboarding</w:t>
            </w:r>
          </w:p>
        </w:tc>
        <w:tc>
          <w:tcPr>
            <w:tcW w:type="dxa" w:w="7010"/>
            <w:vAlign w:val="center"/>
            <w:tcMar>
              <w:top w:w="90" w:type="dxa"/>
              <w:start w:w="120" w:type="dxa"/>
              <w:bottom w:w="90" w:type="dxa"/>
              <w:end w:w="120" w:type="dxa"/>
            </w:tcMar>
          </w:tcPr>
          <w:p>
            <w:r>
              <w:t>What is a Lead Form?; Create/share a form; Review a lead; Lead vs client; Introductory meetings</w:t>
            </w:r>
          </w:p>
        </w:tc>
      </w:tr>
      <w:tr>
        <w:tc>
          <w:tcPr>
            <w:tcW w:type="dxa" w:w="2350"/>
            <w:vAlign w:val="center"/>
            <w:tcMar>
              <w:top w:w="90" w:type="dxa"/>
              <w:start w:w="120" w:type="dxa"/>
              <w:bottom w:w="90" w:type="dxa"/>
              <w:end w:w="120" w:type="dxa"/>
            </w:tcMar>
          </w:tcPr>
          <w:p>
            <w:r>
              <w:t>Groups and clients</w:t>
            </w:r>
          </w:p>
        </w:tc>
        <w:tc>
          <w:tcPr>
            <w:tcW w:type="dxa" w:w="7010"/>
            <w:vAlign w:val="center"/>
            <w:tcMar>
              <w:top w:w="90" w:type="dxa"/>
              <w:start w:w="120" w:type="dxa"/>
              <w:bottom w:w="90" w:type="dxa"/>
              <w:end w:w="120" w:type="dxa"/>
            </w:tcMar>
          </w:tcPr>
          <w:p>
            <w:r>
              <w:t>What is a Group?; Registration forms; Add/import clients; Client access; Status and deletion</w:t>
            </w:r>
          </w:p>
        </w:tc>
      </w:tr>
      <w:tr>
        <w:tc>
          <w:tcPr>
            <w:tcW w:type="dxa" w:w="2350"/>
            <w:vAlign w:val="center"/>
            <w:tcMar>
              <w:top w:w="90" w:type="dxa"/>
              <w:start w:w="120" w:type="dxa"/>
              <w:bottom w:w="90" w:type="dxa"/>
              <w:end w:w="120" w:type="dxa"/>
            </w:tcMar>
          </w:tcPr>
          <w:p>
            <w:r>
              <w:t>Tracking</w:t>
            </w:r>
          </w:p>
        </w:tc>
        <w:tc>
          <w:tcPr>
            <w:tcW w:type="dxa" w:w="7010"/>
            <w:vAlign w:val="center"/>
            <w:tcMar>
              <w:top w:w="90" w:type="dxa"/>
              <w:start w:w="120" w:type="dxa"/>
              <w:bottom w:w="90" w:type="dxa"/>
              <w:end w:w="120" w:type="dxa"/>
            </w:tcMar>
          </w:tcPr>
          <w:p>
            <w:r>
              <w:t>Templates; Assignments; Entries; Analytics; Professional edits; Historical records</w:t>
            </w:r>
          </w:p>
        </w:tc>
      </w:tr>
      <w:tr>
        <w:tc>
          <w:tcPr>
            <w:tcW w:type="dxa" w:w="2350"/>
            <w:vAlign w:val="center"/>
            <w:tcMar>
              <w:top w:w="90" w:type="dxa"/>
              <w:start w:w="120" w:type="dxa"/>
              <w:bottom w:w="90" w:type="dxa"/>
              <w:end w:w="120" w:type="dxa"/>
            </w:tcMar>
          </w:tcPr>
          <w:p>
            <w:r>
              <w:t>Resources</w:t>
            </w:r>
          </w:p>
        </w:tc>
        <w:tc>
          <w:tcPr>
            <w:tcW w:type="dxa" w:w="7010"/>
            <w:vAlign w:val="center"/>
            <w:tcMar>
              <w:top w:w="90" w:type="dxa"/>
              <w:start w:w="120" w:type="dxa"/>
              <w:bottom w:w="90" w:type="dxa"/>
              <w:end w:w="120" w:type="dxa"/>
            </w:tcMar>
          </w:tcPr>
          <w:p>
            <w:r>
              <w:t>Categories; Upload/link types; Sharing; Visibility; File safety</w:t>
            </w:r>
          </w:p>
        </w:tc>
      </w:tr>
      <w:tr>
        <w:tc>
          <w:tcPr>
            <w:tcW w:type="dxa" w:w="2350"/>
            <w:vAlign w:val="center"/>
            <w:tcMar>
              <w:top w:w="90" w:type="dxa"/>
              <w:start w:w="120" w:type="dxa"/>
              <w:bottom w:w="90" w:type="dxa"/>
              <w:end w:w="120" w:type="dxa"/>
            </w:tcMar>
          </w:tcPr>
          <w:p>
            <w:r>
              <w:t>Communication</w:t>
            </w:r>
          </w:p>
        </w:tc>
        <w:tc>
          <w:tcPr>
            <w:tcW w:type="dxa" w:w="7010"/>
            <w:vAlign w:val="center"/>
            <w:tcMar>
              <w:top w:w="90" w:type="dxa"/>
              <w:start w:w="120" w:type="dxa"/>
              <w:bottom w:w="90" w:type="dxa"/>
              <w:end w:w="120" w:type="dxa"/>
            </w:tcMar>
          </w:tcPr>
          <w:p>
            <w:r>
              <w:t>Chat; Notifications; Unread badges; Mark as Read; Clear All</w:t>
            </w:r>
          </w:p>
        </w:tc>
      </w:tr>
      <w:tr>
        <w:tc>
          <w:tcPr>
            <w:tcW w:type="dxa" w:w="2350"/>
            <w:vAlign w:val="center"/>
            <w:tcMar>
              <w:top w:w="90" w:type="dxa"/>
              <w:start w:w="120" w:type="dxa"/>
              <w:bottom w:w="90" w:type="dxa"/>
              <w:end w:w="120" w:type="dxa"/>
            </w:tcMar>
          </w:tcPr>
          <w:p>
            <w:r>
              <w:t>Meetings</w:t>
            </w:r>
          </w:p>
        </w:tc>
        <w:tc>
          <w:tcPr>
            <w:tcW w:type="dxa" w:w="7010"/>
            <w:vAlign w:val="center"/>
            <w:tcMar>
              <w:top w:w="90" w:type="dxa"/>
              <w:start w:w="120" w:type="dxa"/>
              <w:bottom w:w="90" w:type="dxa"/>
              <w:end w:w="120" w:type="dxa"/>
            </w:tcMar>
          </w:tcPr>
          <w:p>
            <w:r>
              <w:t>Availability; Days off; Client requests; Accept/decline; Reschedule/cancel; Calendar</w:t>
            </w:r>
          </w:p>
        </w:tc>
      </w:tr>
      <w:tr>
        <w:tc>
          <w:tcPr>
            <w:tcW w:type="dxa" w:w="2350"/>
            <w:vAlign w:val="center"/>
            <w:tcMar>
              <w:top w:w="90" w:type="dxa"/>
              <w:start w:w="120" w:type="dxa"/>
              <w:bottom w:w="90" w:type="dxa"/>
              <w:end w:w="120" w:type="dxa"/>
            </w:tcMar>
          </w:tcPr>
          <w:p>
            <w:r>
              <w:t>Payments</w:t>
            </w:r>
          </w:p>
        </w:tc>
        <w:tc>
          <w:tcPr>
            <w:tcW w:type="dxa" w:w="7010"/>
            <w:vAlign w:val="center"/>
            <w:tcMar>
              <w:top w:w="90" w:type="dxa"/>
              <w:start w:w="120" w:type="dxa"/>
              <w:bottom w:w="90" w:type="dxa"/>
              <w:end w:w="120" w:type="dxa"/>
            </w:tcMar>
          </w:tcPr>
          <w:p>
            <w:r>
              <w:t>Reporting currency; Manual methods; Requests; Multiple transactions; Acknowledgment; Confirmations; Private logs</w:t>
            </w:r>
          </w:p>
        </w:tc>
      </w:tr>
      <w:tr>
        <w:tc>
          <w:tcPr>
            <w:tcW w:type="dxa" w:w="2350"/>
            <w:vAlign w:val="center"/>
            <w:tcMar>
              <w:top w:w="90" w:type="dxa"/>
              <w:start w:w="120" w:type="dxa"/>
              <w:bottom w:w="90" w:type="dxa"/>
              <w:end w:w="120" w:type="dxa"/>
            </w:tcMar>
          </w:tcPr>
          <w:p>
            <w:r>
              <w:t>Plans and billing</w:t>
            </w:r>
          </w:p>
        </w:tc>
        <w:tc>
          <w:tcPr>
            <w:tcW w:type="dxa" w:w="7010"/>
            <w:vAlign w:val="center"/>
            <w:tcMar>
              <w:top w:w="90" w:type="dxa"/>
              <w:start w:w="120" w:type="dxa"/>
              <w:bottom w:w="90" w:type="dxa"/>
              <w:end w:w="120" w:type="dxa"/>
            </w:tcMar>
          </w:tcPr>
          <w:p>
            <w:r>
              <w:t>Plan usage; Upgrade; Expiry; Cancel/downgrade; Data cleanup; Gateway status</w:t>
            </w:r>
          </w:p>
        </w:tc>
      </w:tr>
      <w:tr>
        <w:tc>
          <w:tcPr>
            <w:tcW w:type="dxa" w:w="2350"/>
            <w:vAlign w:val="center"/>
            <w:tcMar>
              <w:top w:w="90" w:type="dxa"/>
              <w:start w:w="120" w:type="dxa"/>
              <w:bottom w:w="90" w:type="dxa"/>
              <w:end w:w="120" w:type="dxa"/>
            </w:tcMar>
          </w:tcPr>
          <w:p>
            <w:r>
              <w:t>Security and privacy</w:t>
            </w:r>
          </w:p>
        </w:tc>
        <w:tc>
          <w:tcPr>
            <w:tcW w:type="dxa" w:w="7010"/>
            <w:vAlign w:val="center"/>
            <w:tcMar>
              <w:top w:w="90" w:type="dxa"/>
              <w:start w:w="120" w:type="dxa"/>
              <w:bottom w:w="90" w:type="dxa"/>
              <w:end w:w="120" w:type="dxa"/>
            </w:tcMar>
          </w:tcPr>
          <w:p>
            <w:r>
              <w:t>Role visibility; Legal consent; Passwords; Account deletion; Safe support reports</w:t>
            </w:r>
          </w:p>
        </w:tc>
      </w:tr>
      <w:tr>
        <w:tc>
          <w:tcPr>
            <w:tcW w:type="dxa" w:w="2350"/>
            <w:vAlign w:val="center"/>
            <w:tcMar>
              <w:top w:w="90" w:type="dxa"/>
              <w:start w:w="120" w:type="dxa"/>
              <w:bottom w:w="90" w:type="dxa"/>
              <w:end w:w="120" w:type="dxa"/>
            </w:tcMar>
          </w:tcPr>
          <w:p>
            <w:r>
              <w:t>Troubleshooting</w:t>
            </w:r>
          </w:p>
        </w:tc>
        <w:tc>
          <w:tcPr>
            <w:tcW w:type="dxa" w:w="7010"/>
            <w:vAlign w:val="center"/>
            <w:tcMar>
              <w:top w:w="90" w:type="dxa"/>
              <w:start w:w="120" w:type="dxa"/>
              <w:bottom w:w="90" w:type="dxa"/>
              <w:end w:w="120" w:type="dxa"/>
            </w:tcMar>
          </w:tcPr>
          <w:p>
            <w:r>
              <w:t>No availability; Empty charts; Missing form; Upload failure; Unread badge; Error reference; Contact support</w:t>
            </w:r>
          </w:p>
        </w:tc>
      </w:tr>
    </w:tbl>
    <w:p>
      <w:pPr>
        <w:pStyle w:val="Heading1"/>
      </w:pPr>
      <w:r>
        <w:t>25. Frequently asked questions</w:t>
      </w:r>
    </w:p>
    <w:p>
      <w:pPr>
        <w:spacing w:before="140" w:after="40"/>
      </w:pPr>
      <w:r>
        <w:rPr>
          <w:rFonts w:ascii="Calibri" w:hAnsi="Calibri"/>
          <w:b/>
          <w:color w:val="1E40AF"/>
          <w:sz w:val="21"/>
        </w:rPr>
        <w:t>Is a lead already a client?</w:t>
      </w:r>
    </w:p>
    <w:p>
      <w:r>
        <w:t>No. A lead is an applicant/enquiry. The professional reviews the submission and decides whether to create client access.</w:t>
      </w:r>
    </w:p>
    <w:p>
      <w:pPr>
        <w:spacing w:before="140" w:after="40"/>
      </w:pPr>
      <w:r>
        <w:rPr>
          <w:rFonts w:ascii="Calibri" w:hAnsi="Calibri"/>
          <w:b/>
          <w:color w:val="1E40AF"/>
          <w:sz w:val="21"/>
        </w:rPr>
        <w:t>Why do I need a group?</w:t>
      </w:r>
    </w:p>
    <w:p>
      <w:r>
        <w:t>A group organizes clients around a shared workflow and provides a matching registration form. It can represent a program, cohort, service, goal, or location.</w:t>
      </w:r>
    </w:p>
    <w:p>
      <w:pPr>
        <w:spacing w:before="140" w:after="40"/>
      </w:pPr>
      <w:r>
        <w:rPr>
          <w:rFonts w:ascii="Calibri" w:hAnsi="Calibri"/>
          <w:b/>
          <w:color w:val="1E40AF"/>
          <w:sz w:val="21"/>
        </w:rPr>
        <w:t>Can I create more than one Lead Form?</w:t>
      </w:r>
    </w:p>
    <w:p>
      <w:r>
        <w:t>Yes, subject to the current plan limit. Each form should keep its own name, link, fields, status, and submissions.</w:t>
      </w:r>
    </w:p>
    <w:p>
      <w:pPr>
        <w:spacing w:before="140" w:after="40"/>
      </w:pPr>
      <w:r>
        <w:rPr>
          <w:rFonts w:ascii="Calibri" w:hAnsi="Calibri"/>
          <w:b/>
          <w:color w:val="1E40AF"/>
          <w:sz w:val="21"/>
        </w:rPr>
        <w:t>Why is a chart empty?</w:t>
      </w:r>
    </w:p>
    <w:p>
      <w:r>
        <w:t>Charts require compatible submitted data. An empty chart usually means no eligible entries exist for the selected field/date range.</w:t>
      </w:r>
    </w:p>
    <w:p>
      <w:pPr>
        <w:spacing w:before="140" w:after="40"/>
      </w:pPr>
      <w:r>
        <w:rPr>
          <w:rFonts w:ascii="Calibri" w:hAnsi="Calibri"/>
          <w:b/>
          <w:color w:val="1E40AF"/>
          <w:sz w:val="21"/>
        </w:rPr>
        <w:t>Why can I not request a meeting?</w:t>
      </w:r>
    </w:p>
    <w:p>
      <w:r>
        <w:t>The professional may not have published availability, the selected day may be blocked, or scheduling may not be enabled. Contact the professional to publish available slots.</w:t>
      </w:r>
    </w:p>
    <w:p>
      <w:pPr>
        <w:spacing w:before="140" w:after="40"/>
      </w:pPr>
      <w:r>
        <w:rPr>
          <w:rFonts w:ascii="Calibri" w:hAnsi="Calibri"/>
          <w:b/>
          <w:color w:val="1E40AF"/>
          <w:sz w:val="21"/>
        </w:rPr>
        <w:t>Is a requested meeting confirmed?</w:t>
      </w:r>
    </w:p>
    <w:p>
      <w:r>
        <w:t>No. A client request remains pending until the professional accepts it.</w:t>
      </w:r>
    </w:p>
    <w:p>
      <w:pPr>
        <w:spacing w:before="140" w:after="40"/>
      </w:pPr>
      <w:r>
        <w:rPr>
          <w:rFonts w:ascii="Calibri" w:hAnsi="Calibri"/>
          <w:b/>
          <w:color w:val="1E40AF"/>
          <w:sz w:val="21"/>
        </w:rPr>
        <w:t>Does RepRoot Studio take the payment?</w:t>
      </w:r>
    </w:p>
    <w:p>
      <w:r>
        <w:t>Not for manual methods. The client pays using the professional's external instructions and submits proof. Integrated processing must be explicitly enabled before it can be described as active.</w:t>
      </w:r>
    </w:p>
    <w:p>
      <w:pPr>
        <w:spacing w:before="140" w:after="40"/>
      </w:pPr>
      <w:r>
        <w:rPr>
          <w:rFonts w:ascii="Calibri" w:hAnsi="Calibri"/>
          <w:b/>
          <w:color w:val="1E40AF"/>
          <w:sz w:val="21"/>
        </w:rPr>
        <w:t>Can one payment request have several transactions?</w:t>
      </w:r>
    </w:p>
    <w:p>
      <w:r>
        <w:t>Yes. Submit each installment/proof under the same request. The request closes only when accepted amounts satisfy the requested total according to the workflow.</w:t>
      </w:r>
    </w:p>
    <w:p>
      <w:pPr>
        <w:spacing w:before="140" w:after="40"/>
      </w:pPr>
      <w:r>
        <w:rPr>
          <w:rFonts w:ascii="Calibri" w:hAnsi="Calibri"/>
          <w:b/>
          <w:color w:val="1E40AF"/>
          <w:sz w:val="21"/>
        </w:rPr>
        <w:t>Who can see a Manual Payment Log?</w:t>
      </w:r>
    </w:p>
    <w:p>
      <w:r>
        <w:t>It is private professional bookkeeping and should not be shown in the client portal.</w:t>
      </w:r>
    </w:p>
    <w:p>
      <w:pPr>
        <w:spacing w:before="140" w:after="40"/>
      </w:pPr>
      <w:r>
        <w:rPr>
          <w:rFonts w:ascii="Calibri" w:hAnsi="Calibri"/>
          <w:b/>
          <w:color w:val="1E40AF"/>
          <w:sz w:val="21"/>
        </w:rPr>
        <w:t>Why am I asked to accept Terms again?</w:t>
      </w:r>
    </w:p>
    <w:p>
      <w:r>
        <w:t>A new required legal-document version was released. You should not be asked again when your current accepted version is still valid.</w:t>
      </w:r>
    </w:p>
    <w:p>
      <w:pPr>
        <w:spacing w:before="140" w:after="40"/>
      </w:pPr>
      <w:r>
        <w:rPr>
          <w:rFonts w:ascii="Calibri" w:hAnsi="Calibri"/>
          <w:b/>
          <w:color w:val="1E40AF"/>
          <w:sz w:val="21"/>
        </w:rPr>
        <w:t>Does deleting a template delete old entries?</w:t>
      </w:r>
    </w:p>
    <w:p>
      <w:r>
        <w:t>The intended rule is that unassigning or deleting a template does not erase historical client entries.</w:t>
      </w:r>
    </w:p>
    <w:p>
      <w:pPr>
        <w:spacing w:before="140" w:after="40"/>
      </w:pPr>
      <w:r>
        <w:rPr>
          <w:rFonts w:ascii="Calibri" w:hAnsi="Calibri"/>
          <w:b/>
          <w:color w:val="1E40AF"/>
          <w:sz w:val="21"/>
        </w:rPr>
        <w:t>Is the Recycle Bin a backup?</w:t>
      </w:r>
    </w:p>
    <w:p>
      <w:r>
        <w:t>No. It can restore supported deleted records during a recovery window. Disaster recovery requires separate database and object-storage backups.</w:t>
      </w:r>
    </w:p>
    <w:p>
      <w:pPr>
        <w:pStyle w:val="Heading1"/>
      </w:pPr>
      <w:r>
        <w:t>26. Glossary</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shd w:fill="E8EEF5"/>
            <w:vAlign w:val="center"/>
            <w:tcMar>
              <w:top w:w="90" w:type="dxa"/>
              <w:start w:w="120" w:type="dxa"/>
              <w:bottom w:w="90" w:type="dxa"/>
              <w:end w:w="120" w:type="dxa"/>
            </w:tcMar>
          </w:tcPr>
          <w:p>
            <w:r>
              <w:t>Term</w:t>
            </w:r>
          </w:p>
        </w:tc>
        <w:tc>
          <w:tcPr>
            <w:tcW w:type="dxa" w:w="7160"/>
            <w:shd w:fill="E8EEF5"/>
            <w:vAlign w:val="center"/>
            <w:tcMar>
              <w:top w:w="90" w:type="dxa"/>
              <w:start w:w="120" w:type="dxa"/>
              <w:bottom w:w="90" w:type="dxa"/>
              <w:end w:w="120" w:type="dxa"/>
            </w:tcMar>
          </w:tcPr>
          <w:p>
            <w:r>
              <w:t>Plain-language meaning</w:t>
            </w:r>
          </w:p>
        </w:tc>
      </w:tr>
      <w:tr>
        <w:tc>
          <w:tcPr>
            <w:tcW w:type="dxa" w:w="2200"/>
            <w:vAlign w:val="center"/>
            <w:tcMar>
              <w:top w:w="90" w:type="dxa"/>
              <w:start w:w="120" w:type="dxa"/>
              <w:bottom w:w="90" w:type="dxa"/>
              <w:end w:w="120" w:type="dxa"/>
            </w:tcMar>
          </w:tcPr>
          <w:p>
            <w:r>
              <w:t>Acknowledgment</w:t>
            </w:r>
          </w:p>
        </w:tc>
        <w:tc>
          <w:tcPr>
            <w:tcW w:type="dxa" w:w="7160"/>
            <w:vAlign w:val="center"/>
            <w:tcMar>
              <w:top w:w="90" w:type="dxa"/>
              <w:start w:w="120" w:type="dxa"/>
              <w:bottom w:w="90" w:type="dxa"/>
              <w:end w:w="120" w:type="dxa"/>
            </w:tcMar>
          </w:tcPr>
          <w:p>
            <w:r>
              <w:t>The professional's recorded review/acceptance of a client-submitted payment proof or transaction amount.</w:t>
            </w:r>
          </w:p>
        </w:tc>
      </w:tr>
      <w:tr>
        <w:tc>
          <w:tcPr>
            <w:tcW w:type="dxa" w:w="2200"/>
            <w:vAlign w:val="center"/>
            <w:tcMar>
              <w:top w:w="90" w:type="dxa"/>
              <w:start w:w="120" w:type="dxa"/>
              <w:bottom w:w="90" w:type="dxa"/>
              <w:end w:w="120" w:type="dxa"/>
            </w:tcMar>
          </w:tcPr>
          <w:p>
            <w:r>
              <w:t>Activity</w:t>
            </w:r>
          </w:p>
        </w:tc>
        <w:tc>
          <w:tcPr>
            <w:tcW w:type="dxa" w:w="7160"/>
            <w:vAlign w:val="center"/>
            <w:tcMar>
              <w:top w:w="90" w:type="dxa"/>
              <w:start w:w="120" w:type="dxa"/>
              <w:bottom w:w="90" w:type="dxa"/>
              <w:end w:w="120" w:type="dxa"/>
            </w:tcMar>
          </w:tcPr>
          <w:p>
            <w:r>
              <w:t>A time-ordered record of relevant actions, such as requests, submissions, acknowledgments, edits, or status changes.</w:t>
            </w:r>
          </w:p>
        </w:tc>
      </w:tr>
      <w:tr>
        <w:tc>
          <w:tcPr>
            <w:tcW w:type="dxa" w:w="2200"/>
            <w:vAlign w:val="center"/>
            <w:tcMar>
              <w:top w:w="90" w:type="dxa"/>
              <w:start w:w="120" w:type="dxa"/>
              <w:bottom w:w="90" w:type="dxa"/>
              <w:end w:w="120" w:type="dxa"/>
            </w:tcMar>
          </w:tcPr>
          <w:p>
            <w:r>
              <w:t>Client Access</w:t>
            </w:r>
          </w:p>
        </w:tc>
        <w:tc>
          <w:tcPr>
            <w:tcW w:type="dxa" w:w="7160"/>
            <w:vAlign w:val="center"/>
            <w:tcMar>
              <w:top w:w="90" w:type="dxa"/>
              <w:start w:w="120" w:type="dxa"/>
              <w:bottom w:w="90" w:type="dxa"/>
              <w:end w:w="120" w:type="dxa"/>
            </w:tcMar>
          </w:tcPr>
          <w:p>
            <w:r>
              <w:t>The controlled relationship record and, when granted, portal credentials for one client under one professional.</w:t>
            </w:r>
          </w:p>
        </w:tc>
      </w:tr>
      <w:tr>
        <w:tc>
          <w:tcPr>
            <w:tcW w:type="dxa" w:w="2200"/>
            <w:vAlign w:val="center"/>
            <w:tcMar>
              <w:top w:w="90" w:type="dxa"/>
              <w:start w:w="120" w:type="dxa"/>
              <w:bottom w:w="90" w:type="dxa"/>
              <w:end w:w="120" w:type="dxa"/>
            </w:tcMar>
          </w:tcPr>
          <w:p>
            <w:r>
              <w:t>Client Registration Form</w:t>
            </w:r>
          </w:p>
        </w:tc>
        <w:tc>
          <w:tcPr>
            <w:tcW w:type="dxa" w:w="7160"/>
            <w:vAlign w:val="center"/>
            <w:tcMar>
              <w:top w:w="90" w:type="dxa"/>
              <w:start w:w="120" w:type="dxa"/>
              <w:bottom w:w="90" w:type="dxa"/>
              <w:end w:w="120" w:type="dxa"/>
            </w:tcMar>
          </w:tcPr>
          <w:p>
            <w:r>
              <w:t>The group-specific onboarding questions used for approved or manually added clients.</w:t>
            </w:r>
          </w:p>
        </w:tc>
      </w:tr>
      <w:tr>
        <w:tc>
          <w:tcPr>
            <w:tcW w:type="dxa" w:w="2200"/>
            <w:vAlign w:val="center"/>
            <w:tcMar>
              <w:top w:w="90" w:type="dxa"/>
              <w:start w:w="120" w:type="dxa"/>
              <w:bottom w:w="90" w:type="dxa"/>
              <w:end w:w="120" w:type="dxa"/>
            </w:tcMar>
          </w:tcPr>
          <w:p>
            <w:r>
              <w:t>Confirmation</w:t>
            </w:r>
          </w:p>
        </w:tc>
        <w:tc>
          <w:tcPr>
            <w:tcW w:type="dxa" w:w="7160"/>
            <w:vAlign w:val="center"/>
            <w:tcMar>
              <w:top w:w="90" w:type="dxa"/>
              <w:start w:w="120" w:type="dxa"/>
              <w:bottom w:w="90" w:type="dxa"/>
              <w:end w:w="120" w:type="dxa"/>
            </w:tcMar>
          </w:tcPr>
          <w:p>
            <w:r>
              <w:t>A printable record generated after an acknowledged payment workflow; not automatically a bank receipt or tax invoice.</w:t>
            </w:r>
          </w:p>
        </w:tc>
      </w:tr>
      <w:tr>
        <w:tc>
          <w:tcPr>
            <w:tcW w:type="dxa" w:w="2200"/>
            <w:vAlign w:val="center"/>
            <w:tcMar>
              <w:top w:w="90" w:type="dxa"/>
              <w:start w:w="120" w:type="dxa"/>
              <w:bottom w:w="90" w:type="dxa"/>
              <w:end w:w="120" w:type="dxa"/>
            </w:tcMar>
          </w:tcPr>
          <w:p>
            <w:r>
              <w:t>Group</w:t>
            </w:r>
          </w:p>
        </w:tc>
        <w:tc>
          <w:tcPr>
            <w:tcW w:type="dxa" w:w="7160"/>
            <w:vAlign w:val="center"/>
            <w:tcMar>
              <w:top w:w="90" w:type="dxa"/>
              <w:start w:w="120" w:type="dxa"/>
              <w:bottom w:w="90" w:type="dxa"/>
              <w:end w:w="120" w:type="dxa"/>
            </w:tcMar>
          </w:tcPr>
          <w:p>
            <w:r>
              <w:t>A professional-defined container for clients who share a workflow, program, cohort, service, or goal.</w:t>
            </w:r>
          </w:p>
        </w:tc>
      </w:tr>
      <w:tr>
        <w:tc>
          <w:tcPr>
            <w:tcW w:type="dxa" w:w="2200"/>
            <w:vAlign w:val="center"/>
            <w:tcMar>
              <w:top w:w="90" w:type="dxa"/>
              <w:start w:w="120" w:type="dxa"/>
              <w:bottom w:w="90" w:type="dxa"/>
              <w:end w:w="120" w:type="dxa"/>
            </w:tcMar>
          </w:tcPr>
          <w:p>
            <w:r>
              <w:t>Integrated Payment</w:t>
            </w:r>
          </w:p>
        </w:tc>
        <w:tc>
          <w:tcPr>
            <w:tcW w:type="dxa" w:w="7160"/>
            <w:vAlign w:val="center"/>
            <w:tcMar>
              <w:top w:w="90" w:type="dxa"/>
              <w:start w:w="120" w:type="dxa"/>
              <w:bottom w:w="90" w:type="dxa"/>
              <w:end w:w="120" w:type="dxa"/>
            </w:tcMar>
          </w:tcPr>
          <w:p>
            <w:r>
              <w:t>A transaction created through an enabled payment-provider integration rather than recorded manually.</w:t>
            </w:r>
          </w:p>
        </w:tc>
      </w:tr>
      <w:tr>
        <w:tc>
          <w:tcPr>
            <w:tcW w:type="dxa" w:w="2200"/>
            <w:vAlign w:val="center"/>
            <w:tcMar>
              <w:top w:w="90" w:type="dxa"/>
              <w:start w:w="120" w:type="dxa"/>
              <w:bottom w:w="90" w:type="dxa"/>
              <w:end w:w="120" w:type="dxa"/>
            </w:tcMar>
          </w:tcPr>
          <w:p>
            <w:r>
              <w:t>Lead</w:t>
            </w:r>
          </w:p>
        </w:tc>
        <w:tc>
          <w:tcPr>
            <w:tcW w:type="dxa" w:w="7160"/>
            <w:vAlign w:val="center"/>
            <w:tcMar>
              <w:top w:w="90" w:type="dxa"/>
              <w:start w:w="120" w:type="dxa"/>
              <w:bottom w:w="90" w:type="dxa"/>
              <w:end w:w="120" w:type="dxa"/>
            </w:tcMar>
          </w:tcPr>
          <w:p>
            <w:r>
              <w:t>A person who submitted a public enquiry but has not necessarily been approved as a client.</w:t>
            </w:r>
          </w:p>
        </w:tc>
      </w:tr>
      <w:tr>
        <w:tc>
          <w:tcPr>
            <w:tcW w:type="dxa" w:w="2200"/>
            <w:vAlign w:val="center"/>
            <w:tcMar>
              <w:top w:w="90" w:type="dxa"/>
              <w:start w:w="120" w:type="dxa"/>
              <w:bottom w:w="90" w:type="dxa"/>
              <w:end w:w="120" w:type="dxa"/>
            </w:tcMar>
          </w:tcPr>
          <w:p>
            <w:r>
              <w:t>Lead Form</w:t>
            </w:r>
          </w:p>
        </w:tc>
        <w:tc>
          <w:tcPr>
            <w:tcW w:type="dxa" w:w="7160"/>
            <w:vAlign w:val="center"/>
            <w:tcMar>
              <w:top w:w="90" w:type="dxa"/>
              <w:start w:w="120" w:type="dxa"/>
              <w:bottom w:w="90" w:type="dxa"/>
              <w:end w:w="120" w:type="dxa"/>
            </w:tcMar>
          </w:tcPr>
          <w:p>
            <w:r>
              <w:t>A public, shareable enquiry form used before client approval.</w:t>
            </w:r>
          </w:p>
        </w:tc>
      </w:tr>
      <w:tr>
        <w:tc>
          <w:tcPr>
            <w:tcW w:type="dxa" w:w="2200"/>
            <w:vAlign w:val="center"/>
            <w:tcMar>
              <w:top w:w="90" w:type="dxa"/>
              <w:start w:w="120" w:type="dxa"/>
              <w:bottom w:w="90" w:type="dxa"/>
              <w:end w:w="120" w:type="dxa"/>
            </w:tcMar>
          </w:tcPr>
          <w:p>
            <w:r>
              <w:t>Manual Payment Log</w:t>
            </w:r>
          </w:p>
        </w:tc>
        <w:tc>
          <w:tcPr>
            <w:tcW w:type="dxa" w:w="7160"/>
            <w:vAlign w:val="center"/>
            <w:tcMar>
              <w:top w:w="90" w:type="dxa"/>
              <w:start w:w="120" w:type="dxa"/>
              <w:bottom w:w="90" w:type="dxa"/>
              <w:end w:w="120" w:type="dxa"/>
            </w:tcMar>
          </w:tcPr>
          <w:p>
            <w:r>
              <w:t>A private bookkeeping entry recorded by the professional and not shown to the client.</w:t>
            </w:r>
          </w:p>
        </w:tc>
      </w:tr>
      <w:tr>
        <w:tc>
          <w:tcPr>
            <w:tcW w:type="dxa" w:w="2200"/>
            <w:vAlign w:val="center"/>
            <w:tcMar>
              <w:top w:w="90" w:type="dxa"/>
              <w:start w:w="120" w:type="dxa"/>
              <w:bottom w:w="90" w:type="dxa"/>
              <w:end w:w="120" w:type="dxa"/>
            </w:tcMar>
          </w:tcPr>
          <w:p>
            <w:r>
              <w:t>Payment Proof</w:t>
            </w:r>
          </w:p>
        </w:tc>
        <w:tc>
          <w:tcPr>
            <w:tcW w:type="dxa" w:w="7160"/>
            <w:vAlign w:val="center"/>
            <w:tcMar>
              <w:top w:w="90" w:type="dxa"/>
              <w:start w:w="120" w:type="dxa"/>
              <w:bottom w:w="90" w:type="dxa"/>
              <w:end w:w="120" w:type="dxa"/>
            </w:tcMar>
          </w:tcPr>
          <w:p>
            <w:r>
              <w:t>A client-submitted reference and/or file describing one transaction against a payment request.</w:t>
            </w:r>
          </w:p>
        </w:tc>
      </w:tr>
      <w:tr>
        <w:tc>
          <w:tcPr>
            <w:tcW w:type="dxa" w:w="2200"/>
            <w:vAlign w:val="center"/>
            <w:tcMar>
              <w:top w:w="90" w:type="dxa"/>
              <w:start w:w="120" w:type="dxa"/>
              <w:bottom w:w="90" w:type="dxa"/>
              <w:end w:w="120" w:type="dxa"/>
            </w:tcMar>
          </w:tcPr>
          <w:p>
            <w:r>
              <w:t>Payment Request</w:t>
            </w:r>
          </w:p>
        </w:tc>
        <w:tc>
          <w:tcPr>
            <w:tcW w:type="dxa" w:w="7160"/>
            <w:vAlign w:val="center"/>
            <w:tcMar>
              <w:top w:w="90" w:type="dxa"/>
              <w:start w:w="120" w:type="dxa"/>
              <w:bottom w:w="90" w:type="dxa"/>
              <w:end w:w="120" w:type="dxa"/>
            </w:tcMar>
          </w:tcPr>
          <w:p>
            <w:r>
              <w:t>A professional-created record specifying what amount/currency/purpose is requested and which methods are available.</w:t>
            </w:r>
          </w:p>
        </w:tc>
      </w:tr>
      <w:tr>
        <w:tc>
          <w:tcPr>
            <w:tcW w:type="dxa" w:w="2200"/>
            <w:vAlign w:val="center"/>
            <w:tcMar>
              <w:top w:w="90" w:type="dxa"/>
              <w:start w:w="120" w:type="dxa"/>
              <w:bottom w:w="90" w:type="dxa"/>
              <w:end w:w="120" w:type="dxa"/>
            </w:tcMar>
          </w:tcPr>
          <w:p>
            <w:r>
              <w:t>Professional Code</w:t>
            </w:r>
          </w:p>
        </w:tc>
        <w:tc>
          <w:tcPr>
            <w:tcW w:type="dxa" w:w="7160"/>
            <w:vAlign w:val="center"/>
            <w:tcMar>
              <w:top w:w="90" w:type="dxa"/>
              <w:start w:w="120" w:type="dxa"/>
              <w:bottom w:w="90" w:type="dxa"/>
              <w:end w:w="120" w:type="dxa"/>
            </w:tcMar>
          </w:tcPr>
          <w:p>
            <w:r>
              <w:t>The unique code that identifies the professional's client-login workspace.</w:t>
            </w:r>
          </w:p>
        </w:tc>
      </w:tr>
      <w:tr>
        <w:tc>
          <w:tcPr>
            <w:tcW w:type="dxa" w:w="2200"/>
            <w:vAlign w:val="center"/>
            <w:tcMar>
              <w:top w:w="90" w:type="dxa"/>
              <w:start w:w="120" w:type="dxa"/>
              <w:bottom w:w="90" w:type="dxa"/>
              <w:end w:w="120" w:type="dxa"/>
            </w:tcMar>
          </w:tcPr>
          <w:p>
            <w:r>
              <w:t>Progress Entry</w:t>
            </w:r>
          </w:p>
        </w:tc>
        <w:tc>
          <w:tcPr>
            <w:tcW w:type="dxa" w:w="7160"/>
            <w:vAlign w:val="center"/>
            <w:tcMar>
              <w:top w:w="90" w:type="dxa"/>
              <w:start w:w="120" w:type="dxa"/>
              <w:bottom w:w="90" w:type="dxa"/>
              <w:end w:w="120" w:type="dxa"/>
            </w:tcMar>
          </w:tcPr>
          <w:p>
            <w:r>
              <w:t>A dated response to an assigned tracking template.</w:t>
            </w:r>
          </w:p>
        </w:tc>
      </w:tr>
      <w:tr>
        <w:tc>
          <w:tcPr>
            <w:tcW w:type="dxa" w:w="2200"/>
            <w:vAlign w:val="center"/>
            <w:tcMar>
              <w:top w:w="90" w:type="dxa"/>
              <w:start w:w="120" w:type="dxa"/>
              <w:bottom w:w="90" w:type="dxa"/>
              <w:end w:w="120" w:type="dxa"/>
            </w:tcMar>
          </w:tcPr>
          <w:p>
            <w:r>
              <w:t>Resource</w:t>
            </w:r>
          </w:p>
        </w:tc>
        <w:tc>
          <w:tcPr>
            <w:tcW w:type="dxa" w:w="7160"/>
            <w:vAlign w:val="center"/>
            <w:tcMar>
              <w:top w:w="90" w:type="dxa"/>
              <w:start w:w="120" w:type="dxa"/>
              <w:bottom w:w="90" w:type="dxa"/>
              <w:end w:w="120" w:type="dxa"/>
            </w:tcMar>
          </w:tcPr>
          <w:p>
            <w:r>
              <w:t>A file, link, image, PDF, or supported video organized by the professional and selectively shared.</w:t>
            </w:r>
          </w:p>
        </w:tc>
      </w:tr>
      <w:tr>
        <w:tc>
          <w:tcPr>
            <w:tcW w:type="dxa" w:w="2200"/>
            <w:vAlign w:val="center"/>
            <w:tcMar>
              <w:top w:w="90" w:type="dxa"/>
              <w:start w:w="120" w:type="dxa"/>
              <w:bottom w:w="90" w:type="dxa"/>
              <w:end w:w="120" w:type="dxa"/>
            </w:tcMar>
          </w:tcPr>
          <w:p>
            <w:r>
              <w:t>Template Assignment</w:t>
            </w:r>
          </w:p>
        </w:tc>
        <w:tc>
          <w:tcPr>
            <w:tcW w:type="dxa" w:w="7160"/>
            <w:vAlign w:val="center"/>
            <w:tcMar>
              <w:top w:w="90" w:type="dxa"/>
              <w:start w:w="120" w:type="dxa"/>
              <w:bottom w:w="90" w:type="dxa"/>
              <w:end w:w="120" w:type="dxa"/>
            </w:tcMar>
          </w:tcPr>
          <w:p>
            <w:r>
              <w:t>The link that makes one tracking template available to one client with a defined access level and optional resources.</w:t>
            </w:r>
          </w:p>
        </w:tc>
      </w:tr>
      <w:tr>
        <w:tc>
          <w:tcPr>
            <w:tcW w:type="dxa" w:w="2200"/>
            <w:vAlign w:val="center"/>
            <w:tcMar>
              <w:top w:w="90" w:type="dxa"/>
              <w:start w:w="120" w:type="dxa"/>
              <w:bottom w:w="90" w:type="dxa"/>
              <w:end w:w="120" w:type="dxa"/>
            </w:tcMar>
          </w:tcPr>
          <w:p>
            <w:r>
              <w:t>Tracking Template</w:t>
            </w:r>
          </w:p>
        </w:tc>
        <w:tc>
          <w:tcPr>
            <w:tcW w:type="dxa" w:w="7160"/>
            <w:vAlign w:val="center"/>
            <w:tcMar>
              <w:top w:w="90" w:type="dxa"/>
              <w:start w:w="120" w:type="dxa"/>
              <w:bottom w:w="90" w:type="dxa"/>
              <w:end w:w="120" w:type="dxa"/>
            </w:tcMar>
          </w:tcPr>
          <w:p>
            <w:r>
              <w:t>A reusable structure for repeated client updates or check-ins.</w:t>
            </w:r>
          </w:p>
        </w:tc>
      </w:tr>
      <w:tr>
        <w:tc>
          <w:tcPr>
            <w:tcW w:type="dxa" w:w="2200"/>
            <w:vAlign w:val="center"/>
            <w:tcMar>
              <w:top w:w="90" w:type="dxa"/>
              <w:start w:w="120" w:type="dxa"/>
              <w:bottom w:w="90" w:type="dxa"/>
              <w:end w:w="120" w:type="dxa"/>
            </w:tcMar>
          </w:tcPr>
          <w:p>
            <w:r>
              <w:t>Unread Badge</w:t>
            </w:r>
          </w:p>
        </w:tc>
        <w:tc>
          <w:tcPr>
            <w:tcW w:type="dxa" w:w="7160"/>
            <w:vAlign w:val="center"/>
            <w:tcMar>
              <w:top w:w="90" w:type="dxa"/>
              <w:start w:w="120" w:type="dxa"/>
              <w:bottom w:w="90" w:type="dxa"/>
              <w:end w:w="120" w:type="dxa"/>
            </w:tcMar>
          </w:tcPr>
          <w:p>
            <w:r>
              <w:t>A count of notifications or section-specific items not yet reviewed in the relevant context.</w:t>
            </w:r>
          </w:p>
        </w:tc>
      </w:tr>
    </w:tbl>
    <w:p>
      <w:pPr>
        <w:pStyle w:val="Heading1"/>
      </w:pPr>
      <w:r>
        <w:t>27. Content governance</w:t>
      </w:r>
    </w:p>
    <w:p>
      <w:pPr>
        <w:pStyle w:val="ListBullet"/>
      </w:pPr>
      <w:r>
        <w:t>Assign one owner for plan names, limits, prices, supported regions, and feature availability.</w:t>
      </w:r>
    </w:p>
    <w:p>
      <w:pPr>
        <w:pStyle w:val="ListBullet"/>
      </w:pPr>
      <w:r>
        <w:t>Use the live backend/approved product configuration as the source of truth for dynamic plan information.</w:t>
      </w:r>
    </w:p>
    <w:p>
      <w:pPr>
        <w:pStyle w:val="ListBullet"/>
      </w:pPr>
      <w:r>
        <w:t>Version legal documents separately for Platform, Professional, and Client audiences and display their effective dates.</w:t>
      </w:r>
    </w:p>
    <w:p>
      <w:pPr>
        <w:pStyle w:val="ListBullet"/>
      </w:pPr>
      <w:r>
        <w:t>Review every Help article after material UI, policy, workflow, payment, or data-retention changes.</w:t>
      </w:r>
    </w:p>
    <w:p>
      <w:pPr>
        <w:pStyle w:val="ListBullet"/>
      </w:pPr>
      <w:r>
        <w:t>Label screenshots with the product version/date and remove demo personal information before publishing.</w:t>
      </w:r>
    </w:p>
    <w:p>
      <w:pPr>
        <w:pStyle w:val="ListBullet"/>
      </w:pPr>
      <w:r>
        <w:t>Archive historical planning documents so they cannot be mistaken for current marketing or operational truth.</w:t>
      </w:r>
    </w:p>
    <w:p>
      <w:pPr>
        <w:pStyle w:val="ListBullet"/>
      </w:pPr>
      <w:r>
        <w:t>Use role-specific language: professionals manage and decide; clients submit and review; RepRoot Studio provides the platform and controls access.</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EAF7EF"/>
            <w:vAlign w:val="center"/>
            <w:tcMar>
              <w:top w:w="90" w:type="dxa"/>
              <w:start w:w="120" w:type="dxa"/>
              <w:bottom w:w="90" w:type="dxa"/>
              <w:end w:w="120" w:type="dxa"/>
            </w:tcMar>
          </w:tcPr>
          <w:p>
            <w:pPr>
              <w:spacing w:after="60"/>
            </w:pPr>
            <w:r>
              <w:rPr>
                <w:rFonts w:ascii="Calibri" w:hAnsi="Calibri"/>
                <w:b/>
                <w:color w:val="166534"/>
                <w:sz w:val="21"/>
              </w:rPr>
              <w:t>Editorial acceptance check</w:t>
            </w:r>
          </w:p>
          <w:p>
            <w:pPr>
              <w:spacing w:after="0"/>
            </w:pPr>
            <w:r>
              <w:rPr>
                <w:rFonts w:ascii="Calibri" w:hAnsi="Calibri"/>
                <w:color w:val="0F172A"/>
                <w:sz w:val="20"/>
              </w:rPr>
              <w:t>Before publishing any section, confirm that the named button/tab exists, the workflow matches the current UI, the backend enforces the described rule, the text does not expose internal-only information, and any plan/price/regional claim comes from the current approved source.</w:t>
            </w:r>
          </w:p>
        </w:tc>
      </w:tr>
    </w:tbl>
    <w:p>
      <w:pPr>
        <w:spacing w:after="20"/>
      </w:pPr>
    </w:p>
    <w:sectPr w:rsidR="00FC693F" w:rsidRPr="0006063C" w:rsidSect="00034616">
      <w:headerReference w:type="default" r:id="rId9"/>
      <w:footerReference w:type="default" r:id="rId10"/>
      <w:pgSz w:w="12240" w:h="15840"/>
      <w:pgMar w:top="1181" w:right="1296" w:bottom="1123"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475569"/>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475569"/>
        <w:sz w:val="17"/>
      </w:rPr>
      <w:t>REPROOT STUDIO | PRODUCT AND HELP HANDBOOK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color w:val="0F17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Calibri" w:hAnsi="Calibri"/>
      <w:b/>
      <w:bCs/>
      <w:color w:val="1E40AF"/>
      <w:sz w:val="34"/>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b/>
      <w:bCs/>
      <w:color w:val="1E40AF"/>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0F172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F172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Calibri" w:hAnsi="Calibri"/>
      <w:b w:val="0"/>
      <w:i/>
      <w:iCs/>
      <w:color w:val="475569"/>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47" w:hanging="274"/>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547" w:hanging="274"/>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