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asqx52ahk5d1" w:id="0"/>
      <w:bookmarkEnd w:id="0"/>
      <w:r w:rsidDel="00000000" w:rsidR="00000000" w:rsidRPr="00000000">
        <w:rPr>
          <w:b w:val="1"/>
          <w:bCs w:val="1"/>
          <w:rtl w:val="0"/>
        </w:rPr>
        <w:t xml:space="preserve">Multi-Agent Supply Chain Risk Intelligence Platform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z5qn777dmlpz" w:id="1"/>
      <w:bookmarkEnd w:id="1"/>
      <w:r w:rsidDel="00000000" w:rsidR="00000000" w:rsidRPr="00000000">
        <w:rPr>
          <w:b w:val="1"/>
          <w:bCs w:val="1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Current supply chain risk analysis reactive, siloed, and manual - limited to individual SKUs and expert-dependent “tribal knowledge”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scalable approach exists for multi-level BOMs, 3rd+ tier suppliers, or real-time risk monitoring, leading to operational blind spots and escalating manual cost per SKU.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Now?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Mounting global risks — geopolitical, climate, logistics disruptions — demand proactive real-time visibility.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 players increasingly adopt AI to avert costly disruptions and improve operational resilience (e.g., large enterprises deploying predictive systems that avoid production stoppages and losses).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AI Solution (high-level only)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AI platform integrating Propel PLM BOM data with real-time external signals (news, suppliers, logistics, compliance).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Multi-agent risk detection, scoring, narrative context, and prescriptive recommendations for mitigation.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Business Impact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Reduction in risk detection lead time (human days → minutes).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 to ~30–70% faster identification of risk events and lower disruption costs.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 expedited freight and disruption costs; improvements in resilience and on-time performance.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Smaller teams can cover broader portfolios without linear headcount growth.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Pilot Plan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6–8 week proof-of-concept (POC) focused on one product family/BOM hierarchy.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Integrate BOM feed, 3–4 risk agents, risk scoring dashboard, and executive Q&amp;A interface.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Estimated investment (in fixed-cost ranges): low-mid six figures (platform licences + engineering time).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from Leadership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Approve POC budget and cross-functional team allocation.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Stakeholder sponsorship to secure data access and governance alignment.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b w:val="1"/>
          <w:bCs w:val="1"/>
        </w:rPr>
      </w:pPr>
      <w:bookmarkStart w:colFirst="0" w:colLast="0" w:name="_k0f1hoabz1ux" w:id="2"/>
      <w:bookmarkEnd w:id="2"/>
      <w:r w:rsidDel="00000000" w:rsidR="00000000" w:rsidRPr="00000000">
        <w:rPr>
          <w:b w:val="1"/>
          <w:bCs w:val="1"/>
          <w:rtl w:val="0"/>
        </w:rPr>
        <w:t xml:space="preserve">Problem Facing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and reactive: Current risk reviews occur only after issues surface, with heavy reliance on individual expertise and “who knows what.”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Silos and slow execution: Engineering, supply chain, procurement, and quality operate in disconnected processes, lengthening risk detection and mitigation cycles.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Scale limitations: Teams can’t scale beyond individual SKUs or manually manage multi-tier exposures without disproportionate effort.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 visibility: No real-time portfolio view or consistent risk scoring, meaning leadership decisions are delayed or incomplete.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Business implication: Growth targets are constrained by risk management capacity — not market opportunity.</w:t>
      </w:r>
    </w:p>
    <w:p w:rsidR="00000000" w:rsidDel="00000000" w:rsidP="00000000" w:rsidRDefault="00000000" w:rsidRPr="00000000" w14:paraId="00000024">
      <w:pPr>
        <w:pStyle w:val="Heading1"/>
        <w:rPr>
          <w:b w:val="1"/>
          <w:bCs w:val="1"/>
        </w:rPr>
      </w:pPr>
      <w:bookmarkStart w:colFirst="0" w:colLast="0" w:name="_u6eo27rocmr4" w:id="3"/>
      <w:bookmarkEnd w:id="3"/>
      <w:r w:rsidDel="00000000" w:rsidR="00000000" w:rsidRPr="00000000">
        <w:rPr>
          <w:b w:val="1"/>
          <w:bCs w:val="1"/>
          <w:rtl w:val="0"/>
        </w:rPr>
        <w:t xml:space="preserve">Why AI?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investment isn’t workflow automation — it’s risk intelligence augmentation: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Pattern recognition at scale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ingests structured BOMs and unstructured signals (news, legal changes, supplier behavior) to surface risks humans can’t see across millions of data points.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Predictive and adaptive models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 learning predicts risk likelihood and suggests mitigations before disruptions occur — beyond static rules and threshold logic.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Natural language narratives + recommendations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Generative models translate risk scores into actionable narratives, making outputs consumable by non-technical stakeholders.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Multi-agent orchestration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Dedicated agents for supplier risk, compliance, logistics, demand variation, and environmental events operate continuously — not batch.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Outcome: Proactive intelligence, not just faster manual tasks.</w:t>
      </w:r>
    </w:p>
    <w:p w:rsidR="00000000" w:rsidDel="00000000" w:rsidP="00000000" w:rsidRDefault="00000000" w:rsidRPr="00000000" w14:paraId="00000034">
      <w:pPr>
        <w:pStyle w:val="Heading1"/>
        <w:rPr>
          <w:b w:val="1"/>
          <w:bCs w:val="1"/>
        </w:rPr>
      </w:pPr>
      <w:bookmarkStart w:colFirst="0" w:colLast="0" w:name="_pkfiboz0jtk6" w:id="4"/>
      <w:bookmarkEnd w:id="4"/>
      <w:r w:rsidDel="00000000" w:rsidR="00000000" w:rsidRPr="00000000">
        <w:rPr>
          <w:b w:val="1"/>
          <w:bCs w:val="1"/>
          <w:rtl w:val="0"/>
        </w:rPr>
        <w:t xml:space="preserve">Business Impact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Impact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Risk Detection Efficiency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Faster detection: Instead of days of manual research, AI can flag events within minutes to hours.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Coverage: True multi-tier visibility beyond first-tier suppliers.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Cross-functional Synchronization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Leaders get unified dashboards and risk indices, avoiding stovepipes.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Shared language and scoring reduces escalations and alignment overhead.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Risk-Aware Decision Making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Scenario simulations allow planners to evaluate alternatives proactively (e.g., alternate suppliers, reroutes).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Impact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Disruption Cost Reduction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Many AI supply chain adopters report significant reductions in disruption losses (~30% or more) and faster assessments.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 Freight &amp; Expedited Spend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Predictive insights reduce reliance on costly expedite actions during unforeseen delays.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Manual Labor Cost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 analysis becomes less headcount-intensive and more consistent.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Avoided Compliance Penalties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Automated compliance and ESG screening adds risk avoidance in regulated markets.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business impact model should be tracked via leading metrics (risk detection latency, risk resolution time, accuracy of predictions) and lagging metrics (cost avoided, on-time deliveries, supplier performance improvements).</w:t>
      </w:r>
    </w:p>
    <w:p w:rsidR="00000000" w:rsidDel="00000000" w:rsidP="00000000" w:rsidRDefault="00000000" w:rsidRPr="00000000" w14:paraId="00000051">
      <w:pPr>
        <w:pStyle w:val="Heading1"/>
        <w:rPr>
          <w:b w:val="1"/>
          <w:bCs w:val="1"/>
        </w:rPr>
      </w:pPr>
      <w:bookmarkStart w:colFirst="0" w:colLast="0" w:name="_dzfvl5gsztdd" w:id="5"/>
      <w:bookmarkEnd w:id="5"/>
      <w:r w:rsidDel="00000000" w:rsidR="00000000" w:rsidRPr="00000000">
        <w:rPr>
          <w:b w:val="1"/>
          <w:bCs w:val="1"/>
          <w:rtl w:val="0"/>
        </w:rPr>
        <w:t xml:space="preserve">Risks &amp; Constraints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Security &amp; Governance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Sensitive supplier and BOM data must remain secure; LLM and AI systems must adhere to corporate security policies, encryption, and audit controls. Privacy design and logging are essential.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Teams may resist shifting from manual judgment to model-augmented decisioning. Leadership alignment and training are key.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Adoption Resistance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Early outputs may have false positives or noise; iterative tuning and hybrid human-AI workflows help build trust.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Accuracy &amp; Model Limitations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Quality of external signals varies; biased or noisy inputs can mislead models. Continual validation and human oversight remain necessary.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 / Integration Complexity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Integrating external risk feeds and proprietary PLM data may require careful API orchestration and data contracts.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These risks aren’t blockers, but they must be mitigated through clear governance, pilot constraints, phased deployment, and hybrid human oversight.</w:t>
      </w:r>
    </w:p>
    <w:p w:rsidR="00000000" w:rsidDel="00000000" w:rsidP="00000000" w:rsidRDefault="00000000" w:rsidRPr="00000000" w14:paraId="00000062">
      <w:pPr>
        <w:pStyle w:val="Heading1"/>
        <w:rPr>
          <w:b w:val="1"/>
          <w:bCs w:val="1"/>
        </w:rPr>
      </w:pPr>
      <w:bookmarkStart w:colFirst="0" w:colLast="0" w:name="_d6m6r96yy7jy" w:id="6"/>
      <w:bookmarkEnd w:id="6"/>
      <w:r w:rsidDel="00000000" w:rsidR="00000000" w:rsidRPr="00000000">
        <w:rPr>
          <w:b w:val="1"/>
          <w:bCs w:val="1"/>
          <w:rtl w:val="0"/>
        </w:rPr>
        <w:t xml:space="preserve">Pilot Plan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product family associated with multi-level BOMs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2-3 key risk domains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6-8 weeks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integration pipeline: Propel PLM &gt; Risk Engine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scoring dashboard with alerts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Narrative summarization and Q&amp;A interface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prescriptive recommendations for next actions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Reduction in risk detection latency (baseline &gt; target)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% of relevant risks identified pre-disruption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Leadership acceptance of dashboard intelligence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Go/No-Go decision: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on pilot ROL, model precision, and adoption readiness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