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4E78"/>
          <w:sz w:val="40"/>
          <w:szCs w:val="40"/>
        </w:rPr>
        <w:t xml:space="preserve">RAG PDF Chat Assistant</w:t>
      </w:r>
    </w:p>
    <w:p>
      <w:pPr>
        <w:spacing w:after="120"/>
        <w:jc w:val="center"/>
      </w:pPr>
      <w:r>
        <w:rPr>
          <w:color w:val="595959"/>
          <w:sz w:val="28"/>
          <w:szCs w:val="28"/>
        </w:rPr>
        <w:t xml:space="preserve">Comprehensive Project Analysis</w:t>
      </w:r>
    </w:p>
    <w:p>
      <w:pPr>
        <w:spacing w:after="360"/>
        <w:jc w:val="center"/>
      </w:pPr>
      <w:r>
        <w:rPr>
          <w:color w:val="7F7F7F"/>
        </w:rPr>
        <w:t xml:space="preserve">May 2026</w:t>
      </w:r>
    </w:p>
    <w:p>
      <w:pPr>
        <w:pStyle w:val="Heading1"/>
      </w:pPr>
      <w:r>
        <w:t xml:space="preserve">Executive Summary</w:t>
      </w:r>
    </w:p>
    <w:p>
      <w:pPr>
        <w:spacing w:after="240"/>
      </w:pPr>
      <w:r>
        <w:t xml:space="preserve">This project is a production-grade Retrieval-Augmented Generation (RAG) application built with Python, Streamlit, and OpenAI APIs. It enables users to upload PDF documents and engage in intelligent conversations grounded in document context, with automatic citations and structured answers. The application demonstrates professional software engineering practices with comprehensive documentation, modular architecture, and production-ready logging.</w:t>
      </w:r>
    </w:p>
    <w:p>
      <w:pPr>
        <w:spacing w:after="240"/>
      </w:pPr>
      <w:r>
        <w:t xml:space="preserve">Project Status: PRODUCTION-READY ✓</w:t>
      </w:r>
    </w:p>
    <w:p>
      <w:pPr>
        <w:pStyle w:val="Heading1"/>
      </w:pPr>
      <w:r>
        <w:t xml:space="preserve">1. Project Overview</w:t>
      </w:r>
    </w:p>
    <w:p>
      <w:pPr>
        <w:pStyle w:val="Heading2"/>
      </w:pPr>
      <w:r>
        <w:t xml:space="preserve">Purpose &amp; Scope</w:t>
      </w:r>
    </w:p>
    <w:p>
      <w:pPr>
        <w:spacing w:after="120"/>
      </w:pPr>
      <w:r>
        <w:t xml:space="preserve">The RAG PDF Chat Assistant allows users to:</w:t>
      </w:r>
    </w:p>
    <w:p>
      <w:pPr>
        <w:pStyle w:val="ListParagraph"/>
        <w:numPr>
          <w:ilvl w:val="0"/>
          <w:numId w:val="2"/>
        </w:numPr>
        <w:spacing w:after="60"/>
      </w:pPr>
      <w:r>
        <w:t xml:space="preserve">Upload PDF documents of any size or complexity</w:t>
      </w:r>
    </w:p>
    <w:p>
      <w:pPr>
        <w:pStyle w:val="ListParagraph"/>
        <w:numPr>
          <w:ilvl w:val="0"/>
          <w:numId w:val="2"/>
        </w:numPr>
        <w:spacing w:after="60"/>
      </w:pPr>
      <w:r>
        <w:t xml:space="preserve">Ask natural language questions about the documents</w:t>
      </w:r>
    </w:p>
    <w:p>
      <w:pPr>
        <w:pStyle w:val="ListParagraph"/>
        <w:numPr>
          <w:ilvl w:val="0"/>
          <w:numId w:val="2"/>
        </w:numPr>
        <w:spacing w:after="60"/>
      </w:pPr>
      <w:r>
        <w:t xml:space="preserve">Receive grounded answers backed by document excerpts</w:t>
      </w:r>
    </w:p>
    <w:p>
      <w:pPr>
        <w:pStyle w:val="ListParagraph"/>
        <w:numPr>
          <w:ilvl w:val="0"/>
          <w:numId w:val="2"/>
        </w:numPr>
        <w:spacing w:after="60"/>
      </w:pPr>
      <w:r>
        <w:t xml:space="preserve">Get automatic citations with page numbers and snippets</w:t>
      </w:r>
    </w:p>
    <w:p>
      <w:pPr>
        <w:pStyle w:val="ListParagraph"/>
        <w:numPr>
          <w:ilvl w:val="0"/>
          <w:numId w:val="2"/>
        </w:numPr>
        <w:spacing w:after="240"/>
      </w:pPr>
      <w:r>
        <w:t xml:space="preserve">Maintain conversation history across multiple turns</w:t>
      </w:r>
    </w:p>
    <w:p>
      <w:pPr>
        <w:pStyle w:val="Heading2"/>
      </w:pPr>
      <w:r>
        <w:t xml:space="preserve">Key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Pr>
          <w:p>
            <w:r>
              <w:t xml:space="preserve">Metric</w:t>
            </w:r>
          </w:p>
        </w:tc>
        <w:tc>
          <w:tcPr>
            <w:tcW w:type="dxa" w:w="4680"/>
            <w:tcBorders>
              <w:top w:val="single" w:color="CCCCCC" w:sz="1"/>
              <w:left w:val="single" w:color="CCCCCC" w:sz="1"/>
              <w:bottom w:val="single" w:color="CCCCCC" w:sz="1"/>
              <w:right w:val="single" w:color="CCCCCC" w:sz="1"/>
            </w:tcBorders>
            <w:shd w:fill="D5E8F0" w:val="clear"/>
          </w:tcPr>
          <w:p>
            <w:r>
              <w:t xml:space="preserve">Value</w:t>
            </w:r>
          </w:p>
        </w:tc>
      </w:tr>
      <w:tr>
        <w:tc>
          <w:tcPr>
            <w:tcW w:type="dxa" w:w="4680"/>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tc>
      </w:tr>
      <w:tr>
        <w:tc>
          <w:tcPr>
            <w:tcW w:type="dxa" w:w="4680"/>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tc>
      </w:tr>
      <w:tr>
        <w:tc>
          <w:tcPr>
            <w:tcW w:type="dxa" w:w="4680"/>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tc>
      </w:tr>
      <w:tr>
        <w:tc>
          <w:tcPr>
            <w:tcW w:type="dxa" w:w="4680"/>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tc>
      </w:tr>
      <w:tr>
        <w:tc>
          <w:tcPr>
            <w:tcW w:type="dxa" w:w="4680"/>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tc>
      </w:tr>
      <w:tr>
        <w:tc>
          <w:tcPr>
            <w:tcW w:type="dxa" w:w="4680"/>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tc>
      </w:tr>
    </w:tbl>
    <w:p>
      <w:pPr>
        <w:spacing w:after="240"/>
      </w:pPr>
      <w:r>
        <w:t xml:space="preserve"/>
      </w: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Pr>
          <w:p>
            <w:r>
              <w:t xml:space="preserve">Component</w:t>
            </w:r>
          </w:p>
        </w:tc>
        <w:tc>
          <w:tcPr>
            <w:tcW w:type="dxa" w:w="3510"/>
            <w:tcBorders>
              <w:top w:val="single" w:color="CCCCCC" w:sz="1"/>
              <w:left w:val="single" w:color="CCCCCC" w:sz="1"/>
              <w:bottom w:val="single" w:color="CCCCCC" w:sz="1"/>
              <w:right w:val="single" w:color="CCCCCC" w:sz="1"/>
            </w:tcBorders>
            <w:shd w:fill="D5E8F0" w:val="clear"/>
          </w:tcPr>
          <w:p>
            <w:r>
              <w:t xml:space="preserve">Technology</w:t>
            </w:r>
          </w:p>
        </w:tc>
        <w:tc>
          <w:tcPr>
            <w:tcW w:type="dxa" w:w="3510"/>
            <w:tcBorders>
              <w:top w:val="single" w:color="CCCCCC" w:sz="1"/>
              <w:left w:val="single" w:color="CCCCCC" w:sz="1"/>
              <w:bottom w:val="single" w:color="CCCCCC" w:sz="1"/>
              <w:right w:val="single" w:color="CCCCCC" w:sz="1"/>
            </w:tcBorders>
            <w:shd w:fill="D5E8F0" w:val="clear"/>
          </w:tcPr>
          <w:p>
            <w:r>
              <w:t xml:space="preserve">Rationale</w:t>
            </w:r>
          </w:p>
        </w:tc>
      </w:tr>
      <w:tr>
        <w:tc>
          <w:tcPr>
            <w:tcW w:type="dxa" w:w="2340"/>
            <w:tcBorders>
              <w:top w:val="single" w:color="CCCCCC" w:sz="1"/>
              <w:left w:val="single" w:color="CCCCCC" w:sz="1"/>
              <w:bottom w:val="single" w:color="CCCCCC" w:sz="1"/>
              <w:right w:val="single" w:color="CCCCCC" w:sz="1"/>
            </w:tcBorders>
          </w:tcPr>
          <w:p/>
        </w:tc>
        <w:tc>
          <w:tcPr>
            <w:tcW w:type="dxa" w:w="3510"/>
            <w:tcBorders>
              <w:top w:val="single" w:color="CCCCCC" w:sz="1"/>
              <w:left w:val="single" w:color="CCCCCC" w:sz="1"/>
              <w:bottom w:val="single" w:color="CCCCCC" w:sz="1"/>
              <w:right w:val="single" w:color="CCCCCC" w:sz="1"/>
            </w:tcBorders>
          </w:tcPr>
          <w:p/>
        </w:tc>
        <w:tc>
          <w:tcPr>
            <w:tcW w:type="dxa" w:w="351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tc>
        <w:tc>
          <w:tcPr>
            <w:tcW w:type="dxa" w:w="3510"/>
            <w:tcBorders>
              <w:top w:val="single" w:color="CCCCCC" w:sz="1"/>
              <w:left w:val="single" w:color="CCCCCC" w:sz="1"/>
              <w:bottom w:val="single" w:color="CCCCCC" w:sz="1"/>
              <w:right w:val="single" w:color="CCCCCC" w:sz="1"/>
            </w:tcBorders>
          </w:tcPr>
          <w:p/>
        </w:tc>
        <w:tc>
          <w:tcPr>
            <w:tcW w:type="dxa" w:w="351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tc>
        <w:tc>
          <w:tcPr>
            <w:tcW w:type="dxa" w:w="3510"/>
            <w:tcBorders>
              <w:top w:val="single" w:color="CCCCCC" w:sz="1"/>
              <w:left w:val="single" w:color="CCCCCC" w:sz="1"/>
              <w:bottom w:val="single" w:color="CCCCCC" w:sz="1"/>
              <w:right w:val="single" w:color="CCCCCC" w:sz="1"/>
            </w:tcBorders>
          </w:tcPr>
          <w:p/>
        </w:tc>
        <w:tc>
          <w:tcPr>
            <w:tcW w:type="dxa" w:w="351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tc>
        <w:tc>
          <w:tcPr>
            <w:tcW w:type="dxa" w:w="3510"/>
            <w:tcBorders>
              <w:top w:val="single" w:color="CCCCCC" w:sz="1"/>
              <w:left w:val="single" w:color="CCCCCC" w:sz="1"/>
              <w:bottom w:val="single" w:color="CCCCCC" w:sz="1"/>
              <w:right w:val="single" w:color="CCCCCC" w:sz="1"/>
            </w:tcBorders>
          </w:tcPr>
          <w:p/>
        </w:tc>
        <w:tc>
          <w:tcPr>
            <w:tcW w:type="dxa" w:w="351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tc>
        <w:tc>
          <w:tcPr>
            <w:tcW w:type="dxa" w:w="3510"/>
            <w:tcBorders>
              <w:top w:val="single" w:color="CCCCCC" w:sz="1"/>
              <w:left w:val="single" w:color="CCCCCC" w:sz="1"/>
              <w:bottom w:val="single" w:color="CCCCCC" w:sz="1"/>
              <w:right w:val="single" w:color="CCCCCC" w:sz="1"/>
            </w:tcBorders>
          </w:tcPr>
          <w:p/>
        </w:tc>
        <w:tc>
          <w:tcPr>
            <w:tcW w:type="dxa" w:w="351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tc>
        <w:tc>
          <w:tcPr>
            <w:tcW w:type="dxa" w:w="3510"/>
            <w:tcBorders>
              <w:top w:val="single" w:color="CCCCCC" w:sz="1"/>
              <w:left w:val="single" w:color="CCCCCC" w:sz="1"/>
              <w:bottom w:val="single" w:color="CCCCCC" w:sz="1"/>
              <w:right w:val="single" w:color="CCCCCC" w:sz="1"/>
            </w:tcBorders>
          </w:tcPr>
          <w:p/>
        </w:tc>
        <w:tc>
          <w:tcPr>
            <w:tcW w:type="dxa" w:w="351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tc>
        <w:tc>
          <w:tcPr>
            <w:tcW w:type="dxa" w:w="3510"/>
            <w:tcBorders>
              <w:top w:val="single" w:color="CCCCCC" w:sz="1"/>
              <w:left w:val="single" w:color="CCCCCC" w:sz="1"/>
              <w:bottom w:val="single" w:color="CCCCCC" w:sz="1"/>
              <w:right w:val="single" w:color="CCCCCC" w:sz="1"/>
            </w:tcBorders>
          </w:tcPr>
          <w:p/>
        </w:tc>
        <w:tc>
          <w:tcPr>
            <w:tcW w:type="dxa" w:w="3510"/>
            <w:tcBorders>
              <w:top w:val="single" w:color="CCCCCC" w:sz="1"/>
              <w:left w:val="single" w:color="CCCCCC" w:sz="1"/>
              <w:bottom w:val="single" w:color="CCCCCC" w:sz="1"/>
              <w:right w:val="single" w:color="CCCCCC" w:sz="1"/>
            </w:tcBorders>
          </w:tcPr>
          <w:p/>
        </w:tc>
      </w:tr>
    </w:tbl>
    <w:p>
      <w:pPr>
        <w:spacing w:after="240"/>
      </w:pPr>
      <w:r>
        <w:t xml:space="preserve"/>
      </w:r>
    </w:p>
    <w:p>
      <w:pPr>
        <w:pStyle w:val="Heading2"/>
      </w:pPr>
      <w:r>
        <w:t xml:space="preserve">Module Structure &amp; Code Organization</w:t>
      </w:r>
    </w:p>
    <w:p>
      <w:pPr>
        <w:spacing w:after="120"/>
      </w:pPr>
      <w:r>
        <w:t xml:space="preserve">The codebase is organized into 6 main modules with clear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Pr>
          <w:p>
            <w:r>
              <w:t xml:space="preserve">Module</w:t>
            </w:r>
          </w:p>
        </w:tc>
        <w:tc>
          <w:tcPr>
            <w:tcW w:type="dxa" w:w="2340"/>
            <w:tcBorders>
              <w:top w:val="single" w:color="CCCCCC" w:sz="1"/>
              <w:left w:val="single" w:color="CCCCCC" w:sz="1"/>
              <w:bottom w:val="single" w:color="CCCCCC" w:sz="1"/>
              <w:right w:val="single" w:color="CCCCCC" w:sz="1"/>
            </w:tcBorders>
            <w:shd w:fill="D5E8F0" w:val="clear"/>
          </w:tcPr>
          <w:p>
            <w:r>
              <w:t xml:space="preserve">Files</w:t>
            </w:r>
          </w:p>
        </w:tc>
        <w:tc>
          <w:tcPr>
            <w:tcW w:type="dxa" w:w="2340"/>
            <w:tcBorders>
              <w:top w:val="single" w:color="CCCCCC" w:sz="1"/>
              <w:left w:val="single" w:color="CCCCCC" w:sz="1"/>
              <w:bottom w:val="single" w:color="CCCCCC" w:sz="1"/>
              <w:right w:val="single" w:color="CCCCCC" w:sz="1"/>
            </w:tcBorders>
            <w:shd w:fill="D5E8F0" w:val="clear"/>
          </w:tcPr>
          <w:p>
            <w:r>
              <w:t xml:space="preserve">Lines</w:t>
            </w:r>
          </w:p>
        </w:tc>
        <w:tc>
          <w:tcPr>
            <w:tcW w:type="dxa" w:w="2340"/>
            <w:tcBorders>
              <w:top w:val="single" w:color="CCCCCC" w:sz="1"/>
              <w:left w:val="single" w:color="CCCCCC" w:sz="1"/>
              <w:bottom w:val="single" w:color="CCCCCC" w:sz="1"/>
              <w:right w:val="single" w:color="CCCCCC" w:sz="1"/>
            </w:tcBorders>
            <w:shd w:fill="D5E8F0" w:val="clear"/>
          </w:tcPr>
          <w:p>
            <w:r>
              <w:t xml:space="preserve">Purpose</w:t>
            </w:r>
          </w:p>
        </w:tc>
      </w:tr>
      <w:tr>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bl>
    <w:p>
      <w:pPr>
        <w:spacing w:after="240"/>
      </w:pPr>
      <w:r>
        <w:t xml:space="preserve"/>
      </w:r>
    </w:p>
    <w:p>
      <w:pPr>
        <w:pStyle w:val="Heading3"/>
      </w:pPr>
      <w:r>
        <w:t xml:space="preserve">Main Application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Pr>
          <w:p>
            <w:r>
              <w:t xml:space="preserve">File</w:t>
            </w:r>
          </w:p>
        </w:tc>
        <w:tc>
          <w:tcPr>
            <w:tcW w:type="dxa" w:w="4680"/>
            <w:tcBorders>
              <w:top w:val="single" w:color="CCCCCC" w:sz="1"/>
              <w:left w:val="single" w:color="CCCCCC" w:sz="1"/>
              <w:bottom w:val="single" w:color="CCCCCC" w:sz="1"/>
              <w:right w:val="single" w:color="CCCCCC" w:sz="1"/>
            </w:tcBorders>
            <w:shd w:fill="D5E8F0" w:val="clear"/>
          </w:tcPr>
          <w:p>
            <w:r>
              <w:t xml:space="preserve">Lines / Purpose</w:t>
            </w:r>
          </w:p>
        </w:tc>
      </w:tr>
      <w:tr>
        <w:tc>
          <w:tcPr>
            <w:tcW w:type="dxa" w:w="4680"/>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tc>
      </w:tr>
      <w:tr>
        <w:tc>
          <w:tcPr>
            <w:tcW w:type="dxa" w:w="4680"/>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tc>
      </w:tr>
      <w:tr>
        <w:tc>
          <w:tcPr>
            <w:tcW w:type="dxa" w:w="4680"/>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tc>
      </w:tr>
      <w:tr>
        <w:tc>
          <w:tcPr>
            <w:tcW w:type="dxa" w:w="4680"/>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tc>
      </w:tr>
      <w:tr>
        <w:tc>
          <w:tcPr>
            <w:tcW w:type="dxa" w:w="4680"/>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tc>
      </w:tr>
    </w:tbl>
    <w:p>
      <w:pPr>
        <w:spacing w:after="360"/>
      </w:pPr>
      <w:r>
        <w:t xml:space="preserve"/>
      </w:r>
    </w:p>
    <w:p>
      <w:pPr>
        <w:pBdr>
          <w:bottom w:val="single" w:color="2E75B6" w:sz="6" w:space="1"/>
        </w:pBdr>
        <w:spacing w:after="240"/>
        <w:jc w:val="center"/>
      </w:pPr>
      <w:r>
        <w:rPr>
          <w:color w:val="7F7F7F"/>
        </w:rPr>
        <w:t xml:space="preserve">Statistics &amp; Technical Data Updated</w:t>
      </w:r>
    </w:p>
    <w:p>
      <w:pPr>
        <w:pStyle w:val="Heading1"/>
      </w:pPr>
      <w:r>
        <w:t xml:space="preserve">2. Architecture &amp; Implementation Quality</w:t>
      </w:r>
    </w:p>
    <w:p>
      <w:pPr>
        <w:spacing w:after="240"/>
      </w:pPr>
      <w:r>
        <w:t xml:space="preserve">The application demonstrates professional architecture with 1,678 lines of well-structured source code distributed across 6 focused modules. Each module maintains single responsibility while integrating seamlessly with others. The codebase includes comprehensive type hints, detailed docstrings, and strategic error handling at critical points.</w:t>
      </w:r>
    </w:p>
    <w:p>
      <w:pPr>
        <w:spacing w:after="240"/>
      </w:pPr>
      <w:r>
        <w:t xml:space="preserve">With 3,560 lines of documentation across 8 files, this project provides exceptional knowledge transfer for both users and developers. The documentation covers quick-start guides, detailed architecture, development logs, and delivery manifests.</w:t>
      </w:r>
    </w:p>
    <w:p>
      <w:pPr>
        <w:pStyle w:val="Heading2"/>
      </w:pPr>
      <w:r>
        <w:t xml:space="preserve">Code Quality Assessment</w:t>
      </w:r>
    </w:p>
    <w:p>
      <w:pPr>
        <w:spacing w:after="120"/>
      </w:pPr>
      <w:r>
        <w:t xml:space="preserve">Strengths:</w:t>
      </w:r>
    </w:p>
    <w:p>
      <w:pPr>
        <w:pStyle w:val="ListParagraph"/>
        <w:numPr>
          <w:ilvl w:val="0"/>
          <w:numId w:val="2"/>
        </w:numPr>
        <w:spacing w:after="60"/>
      </w:pPr>
      <w:r>
        <w:t xml:space="preserve">Clean layered architecture separating concerns</w:t>
      </w:r>
    </w:p>
    <w:p>
      <w:pPr>
        <w:pStyle w:val="ListParagraph"/>
        <w:numPr>
          <w:ilvl w:val="0"/>
          <w:numId w:val="2"/>
        </w:numPr>
        <w:spacing w:after="60"/>
      </w:pPr>
      <w:r>
        <w:t xml:space="preserve">Comprehensive type hints throughout all modules</w:t>
      </w:r>
    </w:p>
    <w:p>
      <w:pPr>
        <w:pStyle w:val="ListParagraph"/>
        <w:numPr>
          <w:ilvl w:val="0"/>
          <w:numId w:val="2"/>
        </w:numPr>
        <w:spacing w:after="60"/>
      </w:pPr>
      <w:r>
        <w:t xml:space="preserve">Production-grade logging with rotating handlers</w:t>
      </w:r>
    </w:p>
    <w:p>
      <w:pPr>
        <w:pStyle w:val="ListParagraph"/>
        <w:numPr>
          <w:ilvl w:val="0"/>
          <w:numId w:val="2"/>
        </w:numPr>
        <w:spacing w:after="60"/>
      </w:pPr>
      <w:r>
        <w:t xml:space="preserve">Pydantic-based configuration management</w:t>
      </w:r>
    </w:p>
    <w:p>
      <w:pPr>
        <w:pStyle w:val="ListParagraph"/>
        <w:numPr>
          <w:ilvl w:val="0"/>
          <w:numId w:val="2"/>
        </w:numPr>
        <w:spacing w:after="240"/>
      </w:pPr>
      <w:r>
        <w:t xml:space="preserve">Dependency injection for testability</w:t>
      </w:r>
    </w:p>
    <w:p>
      <w:pPr>
        <w:spacing w:after="120"/>
      </w:pPr>
      <w:r>
        <w:t xml:space="preserve">Areas for Enhancement:</w:t>
      </w:r>
    </w:p>
    <w:p>
      <w:pPr>
        <w:pStyle w:val="ListParagraph"/>
        <w:numPr>
          <w:ilvl w:val="0"/>
          <w:numId w:val="2"/>
        </w:numPr>
        <w:spacing w:after="60"/>
      </w:pPr>
      <w:r>
        <w:t xml:space="preserve">Add unit test suite (pytest) with &gt;80% coverage</w:t>
      </w:r>
    </w:p>
    <w:p>
      <w:pPr>
        <w:pStyle w:val="ListParagraph"/>
        <w:numPr>
          <w:ilvl w:val="0"/>
          <w:numId w:val="2"/>
        </w:numPr>
        <w:spacing w:after="60"/>
      </w:pPr>
      <w:r>
        <w:t xml:space="preserve">Implement input validation for file uploads</w:t>
      </w:r>
    </w:p>
    <w:p>
      <w:pPr>
        <w:pStyle w:val="ListParagraph"/>
        <w:numPr>
          <w:ilvl w:val="0"/>
          <w:numId w:val="2"/>
        </w:numPr>
        <w:spacing w:after="60"/>
      </w:pPr>
      <w:r>
        <w:t xml:space="preserve">Add caching for duplicate embeddings</w:t>
      </w:r>
    </w:p>
    <w:p>
      <w:pPr>
        <w:pStyle w:val="ListParagraph"/>
        <w:numPr>
          <w:ilvl w:val="0"/>
          <w:numId w:val="2"/>
        </w:numPr>
        <w:spacing w:after="240"/>
      </w:pPr>
      <w:r>
        <w:t xml:space="preserve">Enhance error messages with contextual information</w:t>
      </w:r>
    </w:p>
    <w:p>
      <w:pPr>
        <w:pBdr>
          <w:bottom w:val="single" w:color="2E75B6" w:sz="6" w:space="1"/>
        </w:pBdr>
        <w:spacing w:after="240"/>
        <w:jc w:val="center"/>
      </w:pPr>
      <w:r>
        <w:rPr>
          <w:color w:val="7F7F7F"/>
        </w:rPr>
        <w:t xml:space="preserve">End of Analysis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2026-05-26T02:57:11.356Z</dcterms:created>
  <dcterms:modified xsi:type="dcterms:W3CDTF">2026-05-26T02:57:11.357Z</dcterms:modified>
</cp:coreProperties>
</file>

<file path=docProps/custom.xml><?xml version="1.0" encoding="utf-8"?>
<Properties xmlns="http://schemas.openxmlformats.org/officeDocument/2006/custom-properties" xmlns:vt="http://schemas.openxmlformats.org/officeDocument/2006/docPropsVTypes"/>
</file>