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D9488"/>
          <w:sz w:val="19"/>
        </w:rPr>
        <w:t>SMART INDIA HACKATHON (SIH) | COMPREHENSIVE PROJECT PROPOSAL</w:t>
      </w:r>
    </w:p>
    <w:p>
      <w:pPr>
        <w:spacing w:before="40" w:after="80"/>
      </w:pPr>
      <w:r>
        <w:rPr>
          <w:rFonts w:ascii="Arial" w:hAnsi="Arial"/>
          <w:b/>
          <w:color w:val="1A365D"/>
          <w:sz w:val="52"/>
        </w:rPr>
        <w:t>UNIBRIDGE</w:t>
      </w:r>
    </w:p>
    <w:p>
      <w:pPr>
        <w:spacing w:before="0" w:after="160"/>
      </w:pPr>
      <w:r>
        <w:rPr>
          <w:rFonts w:ascii="Arial" w:hAnsi="Arial"/>
          <w:b/>
          <w:color w:val="1F2937"/>
          <w:sz w:val="26"/>
        </w:rPr>
        <w:t>Next-Generation University–Industry Collaboration &amp; Continuous Curriculum Modernization Platform</w:t>
      </w:r>
    </w:p>
    <w:p>
      <w:pPr>
        <w:spacing w:before="0" w:after="280"/>
      </w:pPr>
      <w:r>
        <w:rPr>
          <w:rFonts w:ascii="Arial" w:hAnsi="Arial"/>
          <w:i/>
          <w:color w:val="64748B"/>
          <w:sz w:val="21"/>
        </w:rPr>
        <w:t>“From Academic Knowledge to Industry Solutions — Bridging Higher Education and Industrial R&amp;D”</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c>
          <w:tcPr>
            <w:tcW w:type="dxa" w:w="4680"/>
            <w:shd w:fill="F8FAFC"/>
            <w:tcMar>
              <w:top w:w="80" w:type="dxa"/>
              <w:bottom w:w="80" w:type="dxa"/>
              <w:left w:w="120" w:type="dxa"/>
              <w:right w:w="120" w:type="dxa"/>
            </w:tcMar>
          </w:tcPr>
          <w:p>
            <w:r>
              <w:rPr>
                <w:rFonts w:ascii="Arial" w:hAnsi="Arial"/>
                <w:b/>
                <w:color w:val="1A365D"/>
                <w:sz w:val="18"/>
              </w:rPr>
              <w:t xml:space="preserve">Target Hackathon / Track: </w:t>
            </w:r>
            <w:r>
              <w:rPr>
                <w:rFonts w:ascii="Arial" w:hAnsi="Arial"/>
                <w:color w:val="1F2937"/>
                <w:sz w:val="18"/>
              </w:rPr>
              <w:t>Smart India Hackathon (SIH) – Higher Education / Smart Automation</w:t>
            </w:r>
          </w:p>
        </w:tc>
        <w:tc>
          <w:tcPr>
            <w:tcW w:type="dxa" w:w="4680"/>
            <w:shd w:fill="F8FAFC"/>
            <w:tcMar>
              <w:top w:w="80" w:type="dxa"/>
              <w:bottom w:w="80" w:type="dxa"/>
              <w:left w:w="120" w:type="dxa"/>
              <w:right w:w="120" w:type="dxa"/>
            </w:tcMar>
          </w:tcPr>
          <w:p>
            <w:r>
              <w:rPr>
                <w:rFonts w:ascii="Arial" w:hAnsi="Arial"/>
                <w:b/>
                <w:color w:val="1A365D"/>
                <w:sz w:val="18"/>
              </w:rPr>
              <w:t xml:space="preserve">Current Project Phase: </w:t>
            </w:r>
            <w:r>
              <w:rPr>
                <w:rFonts w:ascii="Arial" w:hAnsi="Arial"/>
                <w:color w:val="1F2937"/>
                <w:sz w:val="18"/>
              </w:rPr>
              <w:t>Conceptual Architecture &amp; System Design (Pre-Prototype)</w:t>
            </w:r>
          </w:p>
        </w:tc>
      </w:tr>
      <w:tr>
        <w:tc>
          <w:tcPr>
            <w:tcW w:type="dxa" w:w="4680"/>
            <w:shd w:fill="F8FAFC"/>
            <w:tcMar>
              <w:top w:w="80" w:type="dxa"/>
              <w:bottom w:w="80" w:type="dxa"/>
              <w:left w:w="120" w:type="dxa"/>
              <w:right w:w="120" w:type="dxa"/>
            </w:tcMar>
          </w:tcPr>
          <w:p>
            <w:r>
              <w:rPr>
                <w:rFonts w:ascii="Arial" w:hAnsi="Arial"/>
                <w:b/>
                <w:color w:val="1A365D"/>
                <w:sz w:val="18"/>
              </w:rPr>
              <w:t xml:space="preserve">Core Institutional Mandate: </w:t>
            </w:r>
            <w:r>
              <w:rPr>
                <w:rFonts w:ascii="Arial" w:hAnsi="Arial"/>
                <w:color w:val="1F2937"/>
                <w:sz w:val="18"/>
              </w:rPr>
              <w:t>NEP 2020 &amp; UGC Industry-Linkage Guidelines</w:t>
            </w:r>
          </w:p>
        </w:tc>
        <w:tc>
          <w:tcPr>
            <w:tcW w:type="dxa" w:w="4680"/>
            <w:shd w:fill="F8FAFC"/>
            <w:tcMar>
              <w:top w:w="80" w:type="dxa"/>
              <w:bottom w:w="80" w:type="dxa"/>
              <w:left w:w="120" w:type="dxa"/>
              <w:right w:w="120" w:type="dxa"/>
            </w:tcMar>
          </w:tcPr>
          <w:p>
            <w:r>
              <w:rPr>
                <w:rFonts w:ascii="Arial" w:hAnsi="Arial"/>
                <w:b/>
                <w:color w:val="1A365D"/>
                <w:sz w:val="18"/>
              </w:rPr>
              <w:t xml:space="preserve">Target Deliverables: </w:t>
            </w:r>
            <w:r>
              <w:rPr>
                <w:rFonts w:ascii="Arial" w:hAnsi="Arial"/>
                <w:color w:val="1F2937"/>
                <w:sz w:val="18"/>
              </w:rPr>
              <w:t>Full-Stack Portal, Matching Engine, Feedback Telemetry</w:t>
            </w:r>
          </w:p>
        </w:tc>
      </w:tr>
    </w:tbl>
    <w:p>
      <w:pPr>
        <w:spacing w:before="200" w:after="200"/>
      </w:pPr>
    </w:p>
    <w:p>
      <w:pPr>
        <w:keepNext/>
        <w:spacing w:before="360" w:after="120"/>
      </w:pPr>
      <w:r>
        <w:rPr>
          <w:rFonts w:ascii="Arial" w:hAnsi="Arial"/>
          <w:b/>
          <w:color w:val="1A365D"/>
          <w:sz w:val="32"/>
        </w:rPr>
        <w:t>1. Executive Summary &amp; Problem Statement</w:t>
      </w:r>
    </w:p>
    <w:p>
      <w:pPr>
        <w:spacing w:before="0" w:after="120" w:line="276" w:lineRule="auto"/>
      </w:pPr>
      <w:r>
        <w:rPr>
          <w:rFonts w:ascii="Arial" w:hAnsi="Arial"/>
          <w:color w:val="1F2937"/>
          <w:sz w:val="21"/>
        </w:rPr>
        <w:t>University–industry collaboration in India has historically operated as an episodic and fragmented transaction. Higher education institutions routinely conduct guest lectures, one-day hackathons, industrial visits, and annual campus placements. However, these engagements fail to establish a systematic, continuous feedback loop between classroom instruction and industrial problem-solving. The prevailing educational paradigm enforces an isolated model of 'Education First, Employment Later', resulting in substantial skill-gap deficits and academic obsolescence.</w:t>
      </w:r>
    </w:p>
    <w:p>
      <w:pPr>
        <w:spacing w:before="0" w:after="120" w:line="276" w:lineRule="auto"/>
      </w:pPr>
      <w:r>
        <w:rPr>
          <w:rFonts w:ascii="Arial" w:hAnsi="Arial"/>
          <w:color w:val="1F2937"/>
          <w:sz w:val="21"/>
        </w:rPr>
        <w:t>UNIBRIDGE is an institutional-grade digital infrastructure designed to dismantle this dichotomy. By replacing the linear, dead-end trajectory of academic coursework with a closed-loop collaboration engine, UNIBRIDGE translates live operational and technological challenges from enterprises, startups, and MSMEs directly into credit-bearing student capstones, research lab problems, and data-driven curriculum updates.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36" w:space="0" w:color="1A365D"/>
              <w:bottom w:val="none"/>
              <w:right w:val="none"/>
            </w:tcBorders>
            <w:tcMar>
              <w:top w:w="140" w:type="dxa"/>
              <w:bottom w:w="140" w:type="dxa"/>
              <w:left w:w="200" w:type="dxa"/>
              <w:right w:w="180" w:type="dxa"/>
            </w:tcMar>
          </w:tcPr>
          <w:p>
            <w:pPr>
              <w:spacing w:before="0" w:after="80"/>
            </w:pPr>
            <w:r>
              <w:rPr>
                <w:rFonts w:ascii="Arial" w:hAnsi="Arial"/>
                <w:b/>
                <w:color w:val="1A365D"/>
                <w:sz w:val="19"/>
              </w:rPr>
              <w:t>✦  PARADIGM SHIFT: FROM STATIC COURSEWORK TO CLOSED-LOOP ENGINE</w:t>
            </w:r>
          </w:p>
          <w:p>
            <w:pPr>
              <w:spacing w:before="40" w:after="40" w:line="276" w:lineRule="auto"/>
            </w:pPr>
            <w:r>
              <w:rPr>
                <w:rFonts w:ascii="Arial" w:hAnsi="Arial"/>
                <w:b/>
                <w:color w:val="0D9488"/>
                <w:sz w:val="20"/>
              </w:rPr>
              <w:t xml:space="preserve">• </w:t>
            </w:r>
            <w:r>
              <w:rPr>
                <w:rFonts w:ascii="Arial" w:hAnsi="Arial"/>
                <w:color w:val="1F2937"/>
                <w:sz w:val="20"/>
              </w:rPr>
              <w:t>Traditional Reality: Problem → Academic Project → Semester Evaluation/Submission → End of Lifecycle (Static Shelfware).</w:t>
            </w:r>
          </w:p>
          <w:p>
            <w:pPr>
              <w:spacing w:before="40" w:after="40" w:line="276" w:lineRule="auto"/>
            </w:pPr>
            <w:r>
              <w:rPr>
                <w:rFonts w:ascii="Arial" w:hAnsi="Arial"/>
                <w:b/>
                <w:color w:val="0D9488"/>
                <w:sz w:val="20"/>
              </w:rPr>
              <w:t xml:space="preserve">• </w:t>
            </w:r>
            <w:r>
              <w:rPr>
                <w:rFonts w:ascii="Arial" w:hAnsi="Arial"/>
                <w:color w:val="1F2937"/>
                <w:sz w:val="20"/>
              </w:rPr>
              <w:t>UNIBRIDGE Ecosystem: Industry Challenge → Academic Alignment &amp; Learning → Mentored Prototyping → Industry Rigorous Evaluation → Skills Telemetry → Continuous Curriculum Modernization &amp; Talent Pipeline.</w:t>
            </w:r>
          </w:p>
        </w:tc>
      </w:tr>
    </w:tbl>
    <w:p>
      <w:pPr>
        <w:spacing w:before="80" w:after="80"/>
      </w:pPr>
    </w:p>
    <w:p>
      <w:pPr>
        <w:keepNext/>
        <w:spacing w:before="280" w:after="80"/>
      </w:pPr>
      <w:r>
        <w:rPr>
          <w:rFonts w:ascii="Arial" w:hAnsi="Arial"/>
          <w:b/>
          <w:color w:val="0D9488"/>
          <w:sz w:val="25"/>
        </w:rPr>
        <w:t>1.1 The Institutional Gap Across Key Stakeholders</w:t>
      </w:r>
    </w:p>
    <w:p>
      <w:pPr>
        <w:spacing w:before="20" w:after="60" w:line="276" w:lineRule="auto"/>
        <w:ind w:left="360"/>
      </w:pPr>
      <w:r>
        <w:rPr>
          <w:rFonts w:ascii="Arial" w:hAnsi="Arial"/>
          <w:b/>
          <w:color w:val="1A365D"/>
          <w:sz w:val="20"/>
        </w:rPr>
        <w:t xml:space="preserve">▪  For Students: </w:t>
      </w:r>
      <w:r>
        <w:rPr>
          <w:rFonts w:ascii="Arial" w:hAnsi="Arial"/>
          <w:color w:val="1F2937"/>
          <w:sz w:val="20"/>
        </w:rPr>
        <w:t>Academic assignments remain overwhelmingly theoretical and synthetic. Students rarely face real-world friction—such as budget caps, architectural trade-offs, legacy integrations, strict latency requirements, or commercial viability—leaving them ill-prepared for industry demands.</w:t>
      </w:r>
    </w:p>
    <w:p>
      <w:pPr>
        <w:spacing w:before="20" w:after="60" w:line="276" w:lineRule="auto"/>
        <w:ind w:left="360"/>
      </w:pPr>
      <w:r>
        <w:rPr>
          <w:rFonts w:ascii="Arial" w:hAnsi="Arial"/>
          <w:b/>
          <w:color w:val="1A365D"/>
          <w:sz w:val="20"/>
        </w:rPr>
        <w:t xml:space="preserve">▪  For Faculty &amp; Academic Councils: </w:t>
      </w:r>
      <w:r>
        <w:rPr>
          <w:rFonts w:ascii="Arial" w:hAnsi="Arial"/>
          <w:color w:val="1F2937"/>
          <w:sz w:val="20"/>
        </w:rPr>
        <w:t>Curriculum revisions are notoriously sluggish (often taking 3–5 years). Without automated, structured telemetry from industrial project outcomes, board of studies members lack empirical evidence to modernize syllabi.</w:t>
      </w:r>
    </w:p>
    <w:p>
      <w:pPr>
        <w:spacing w:before="20" w:after="60" w:line="276" w:lineRule="auto"/>
        <w:ind w:left="360"/>
      </w:pPr>
      <w:r>
        <w:rPr>
          <w:rFonts w:ascii="Arial" w:hAnsi="Arial"/>
          <w:b/>
          <w:color w:val="1A365D"/>
          <w:sz w:val="20"/>
        </w:rPr>
        <w:t xml:space="preserve">▪  For Industry &amp; MSMEs: </w:t>
      </w:r>
      <w:r>
        <w:rPr>
          <w:rFonts w:ascii="Arial" w:hAnsi="Arial"/>
          <w:color w:val="1F2937"/>
          <w:sz w:val="20"/>
        </w:rPr>
        <w:t>Recruiting verified technical talent and outsourcing early-stage R&amp;D remains costly and unstandardized. MSMEs lack the infrastructure to engage university labs, while large enterprises lack direct visibility into student problem-solving competencies beyond GPA.</w:t>
      </w:r>
    </w:p>
    <w:p>
      <w:pPr>
        <w:spacing w:before="20" w:after="60" w:line="276" w:lineRule="auto"/>
        <w:ind w:left="360"/>
      </w:pPr>
      <w:r>
        <w:rPr>
          <w:rFonts w:ascii="Arial" w:hAnsi="Arial"/>
          <w:b/>
          <w:color w:val="1A365D"/>
          <w:sz w:val="20"/>
        </w:rPr>
        <w:t xml:space="preserve">▪  For Academic Researchers: </w:t>
      </w:r>
      <w:r>
        <w:rPr>
          <w:rFonts w:ascii="Arial" w:hAnsi="Arial"/>
          <w:color w:val="1F2937"/>
          <w:sz w:val="20"/>
        </w:rPr>
        <w:t>Applied research and institutional intellectual property frequently end at paper publication rather than maturing into industry-validated proofs-of-concept (PoCs), patents, or spin-off commercial products.</w:t>
      </w:r>
    </w:p>
    <w:p>
      <w:pPr>
        <w:keepNext/>
        <w:spacing w:before="360" w:after="120"/>
      </w:pPr>
      <w:r>
        <w:rPr>
          <w:rFonts w:ascii="Arial" w:hAnsi="Arial"/>
          <w:b/>
          <w:color w:val="1A365D"/>
          <w:sz w:val="32"/>
        </w:rPr>
        <w:t>2. Policy Alignment &amp; Strategic Mandates</w:t>
      </w:r>
    </w:p>
    <w:p>
      <w:pPr>
        <w:spacing w:before="0" w:after="120" w:line="276" w:lineRule="auto"/>
      </w:pPr>
      <w:r>
        <w:rPr>
          <w:rFonts w:ascii="Arial" w:hAnsi="Arial"/>
          <w:color w:val="1F2937"/>
          <w:sz w:val="21"/>
        </w:rPr>
        <w:t>UNIBRIDGE directly operationalizes critical national educational policies, acting as the technological bridge mandated by apex regulatory bodies:</w:t>
      </w:r>
    </w:p>
    <w:p>
      <w:pPr>
        <w:spacing w:before="20" w:after="60" w:line="276" w:lineRule="auto"/>
        <w:ind w:left="360"/>
      </w:pPr>
      <w:r>
        <w:rPr>
          <w:rFonts w:ascii="Arial" w:hAnsi="Arial"/>
          <w:b/>
          <w:color w:val="1A365D"/>
          <w:sz w:val="20"/>
        </w:rPr>
        <w:t xml:space="preserve">▪  National Education Policy (NEP) 2020: </w:t>
      </w:r>
      <w:r>
        <w:rPr>
          <w:rFonts w:ascii="Arial" w:hAnsi="Arial"/>
          <w:color w:val="1F2937"/>
          <w:sz w:val="20"/>
        </w:rPr>
        <w:t>Operationalizes mandates for multidisciplinary learning, mandatory credit-bearing internships, experiential learning pedagogies, and the National Higher Education Qualifications Framework (NHEQF).</w:t>
      </w:r>
    </w:p>
    <w:p>
      <w:pPr>
        <w:spacing w:before="20" w:after="60" w:line="276" w:lineRule="auto"/>
        <w:ind w:left="360"/>
      </w:pPr>
      <w:r>
        <w:rPr>
          <w:rFonts w:ascii="Arial" w:hAnsi="Arial"/>
          <w:b/>
          <w:color w:val="1A365D"/>
          <w:sz w:val="20"/>
        </w:rPr>
        <w:t xml:space="preserve">▪  UGC Guidelines on University-Industry Linkages: </w:t>
      </w:r>
      <w:r>
        <w:rPr>
          <w:rFonts w:ascii="Arial" w:hAnsi="Arial"/>
          <w:color w:val="1F2937"/>
          <w:sz w:val="20"/>
        </w:rPr>
        <w:t>Implements the University Grants Commission’s framework requiring sustainable clusters, industrial advisory councils, and structured student-industry interactions.</w:t>
      </w:r>
    </w:p>
    <w:p>
      <w:pPr>
        <w:spacing w:before="20" w:after="60" w:line="276" w:lineRule="auto"/>
        <w:ind w:left="360"/>
      </w:pPr>
      <w:r>
        <w:rPr>
          <w:rFonts w:ascii="Arial" w:hAnsi="Arial"/>
          <w:b/>
          <w:color w:val="1A365D"/>
          <w:sz w:val="20"/>
        </w:rPr>
        <w:t xml:space="preserve">▪  Atmanirbhar Bharat &amp; Make in India: </w:t>
      </w:r>
      <w:r>
        <w:rPr>
          <w:rFonts w:ascii="Arial" w:hAnsi="Arial"/>
          <w:color w:val="1F2937"/>
          <w:sz w:val="20"/>
        </w:rPr>
        <w:t>Empowers indigenous MSMEs and manufacturing sectors by crowdsourcing technical solutions to local academic clusters, reducing reliance on expensive imported R&amp;D.</w:t>
      </w:r>
    </w:p>
    <w:p>
      <w:pPr>
        <w:spacing w:before="20" w:after="60" w:line="276" w:lineRule="auto"/>
        <w:ind w:left="360"/>
      </w:pPr>
      <w:r>
        <w:rPr>
          <w:rFonts w:ascii="Arial" w:hAnsi="Arial"/>
          <w:b/>
          <w:color w:val="1A365D"/>
          <w:sz w:val="20"/>
        </w:rPr>
        <w:t xml:space="preserve">▪  NITI Aayog Policy Recommendations: </w:t>
      </w:r>
      <w:r>
        <w:rPr>
          <w:rFonts w:ascii="Arial" w:hAnsi="Arial"/>
          <w:color w:val="1F2937"/>
          <w:sz w:val="20"/>
        </w:rPr>
        <w:t>Aligns with recommendations on expanding quality education across state public universities and fostering co-located research and technology commercialization centers.</w:t>
      </w:r>
    </w:p>
    <w:p>
      <w:pPr>
        <w:keepNext/>
        <w:spacing w:before="360" w:after="120"/>
      </w:pPr>
      <w:r>
        <w:rPr>
          <w:rFonts w:ascii="Arial" w:hAnsi="Arial"/>
          <w:b/>
          <w:color w:val="1A365D"/>
          <w:sz w:val="32"/>
        </w:rPr>
        <w:t>3. Institutional Governance Framework</w:t>
      </w:r>
    </w:p>
    <w:p>
      <w:pPr>
        <w:spacing w:before="0" w:after="120" w:line="276" w:lineRule="auto"/>
      </w:pPr>
      <w:r>
        <w:rPr>
          <w:rFonts w:ascii="Arial" w:hAnsi="Arial"/>
          <w:color w:val="1F2937"/>
          <w:sz w:val="21"/>
        </w:rPr>
        <w:t>A platform alone cannot thrive without active organizational scaffolding. UNIBRIDGE integrates digital software with an institutional governance hierarchy: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c>
          <w:tcPr>
            <w:tcW w:type="dxa" w:w="4680"/>
            <w:shd w:fill="1A365D"/>
            <w:tcMar>
              <w:top w:w="100" w:type="dxa"/>
              <w:bottom w:w="100" w:type="dxa"/>
              <w:left w:w="140" w:type="dxa"/>
              <w:right w:w="140" w:type="dxa"/>
            </w:tcMar>
          </w:tcPr>
          <w:p>
            <w:r>
              <w:rPr>
                <w:rFonts w:ascii="Arial" w:hAnsi="Arial"/>
                <w:b/>
                <w:color w:val="FFFFFF"/>
                <w:sz w:val="20"/>
              </w:rPr>
              <w:t>Institutional Entity</w:t>
            </w:r>
          </w:p>
        </w:tc>
        <w:tc>
          <w:tcPr>
            <w:tcW w:type="dxa" w:w="4680"/>
            <w:shd w:fill="1A365D"/>
            <w:tcMar>
              <w:top w:w="100" w:type="dxa"/>
              <w:bottom w:w="100" w:type="dxa"/>
              <w:left w:w="140" w:type="dxa"/>
              <w:right w:w="140" w:type="dxa"/>
            </w:tcMar>
          </w:tcPr>
          <w:p>
            <w:r>
              <w:rPr>
                <w:rFonts w:ascii="Arial" w:hAnsi="Arial"/>
                <w:b/>
                <w:color w:val="FFFFFF"/>
                <w:sz w:val="20"/>
              </w:rPr>
              <w:t>Operational Role &amp; Governance Responsibilities</w:t>
            </w:r>
          </w:p>
        </w:tc>
      </w:tr>
      <w:tr>
        <w:tc>
          <w:tcPr>
            <w:tcW w:type="dxa" w:w="4680"/>
            <w:shd w:fill="F8FAFC"/>
            <w:tcMar>
              <w:top w:w="90" w:type="dxa"/>
              <w:bottom w:w="90" w:type="dxa"/>
              <w:left w:w="120" w:type="dxa"/>
              <w:right w:w="120" w:type="dxa"/>
            </w:tcMar>
          </w:tcPr>
          <w:p>
            <w:r>
              <w:rPr>
                <w:rFonts w:ascii="Arial" w:hAnsi="Arial"/>
                <w:b/>
                <w:color w:val="1A365D"/>
                <w:sz w:val="19"/>
              </w:rPr>
              <w:t>Regional R&amp;D Clusters (State Level)</w:t>
            </w:r>
          </w:p>
        </w:tc>
        <w:tc>
          <w:tcPr>
            <w:tcW w:type="dxa" w:w="4680"/>
            <w:shd w:fill="F8FAFC"/>
            <w:tcMar>
              <w:top w:w="90" w:type="dxa"/>
              <w:bottom w:w="90" w:type="dxa"/>
              <w:left w:w="120" w:type="dxa"/>
              <w:right w:w="120" w:type="dxa"/>
            </w:tcMar>
          </w:tcPr>
          <w:p>
            <w:r>
              <w:rPr>
                <w:rFonts w:ascii="Arial" w:hAnsi="Arial"/>
                <w:color w:val="1F2937"/>
                <w:sz w:val="19"/>
              </w:rPr>
              <w:t>Guided by Regional R&amp;D Advisory Committees (RAC) across premier central/state universities. Pools specialized laboratory infrastructure, computing facilities, and coordinates regional industrial priorities.</w:t>
            </w:r>
          </w:p>
        </w:tc>
      </w:tr>
      <w:tr>
        <w:tc>
          <w:tcPr>
            <w:tcW w:type="dxa" w:w="4680"/>
            <w:shd w:fill="FFFFFF"/>
            <w:tcMar>
              <w:top w:w="90" w:type="dxa"/>
              <w:bottom w:w="90" w:type="dxa"/>
              <w:left w:w="120" w:type="dxa"/>
              <w:right w:w="120" w:type="dxa"/>
            </w:tcMar>
          </w:tcPr>
          <w:p>
            <w:r>
              <w:rPr>
                <w:rFonts w:ascii="Arial" w:hAnsi="Arial"/>
                <w:b/>
                <w:color w:val="1A365D"/>
                <w:sz w:val="19"/>
              </w:rPr>
              <w:t>Industry Relations Cells (IRC)</w:t>
            </w:r>
          </w:p>
        </w:tc>
        <w:tc>
          <w:tcPr>
            <w:tcW w:type="dxa" w:w="4680"/>
            <w:shd w:fill="FFFFFF"/>
            <w:tcMar>
              <w:top w:w="90" w:type="dxa"/>
              <w:bottom w:w="90" w:type="dxa"/>
              <w:left w:w="120" w:type="dxa"/>
              <w:right w:w="120" w:type="dxa"/>
            </w:tcMar>
          </w:tcPr>
          <w:p>
            <w:r>
              <w:rPr>
                <w:rFonts w:ascii="Arial" w:hAnsi="Arial"/>
                <w:color w:val="1F2937"/>
                <w:sz w:val="19"/>
              </w:rPr>
              <w:t>Stationed inside university departments to vet problem definitions, supervise student credit allocations, track progress, and manage intellectual property/NDA protocols.</w:t>
            </w:r>
          </w:p>
        </w:tc>
      </w:tr>
      <w:tr>
        <w:tc>
          <w:tcPr>
            <w:tcW w:type="dxa" w:w="4680"/>
            <w:shd w:fill="F8FAFC"/>
            <w:tcMar>
              <w:top w:w="90" w:type="dxa"/>
              <w:bottom w:w="90" w:type="dxa"/>
              <w:left w:w="120" w:type="dxa"/>
              <w:right w:w="120" w:type="dxa"/>
            </w:tcMar>
          </w:tcPr>
          <w:p>
            <w:r>
              <w:rPr>
                <w:rFonts w:ascii="Arial" w:hAnsi="Arial"/>
                <w:b/>
                <w:color w:val="1A365D"/>
                <w:sz w:val="19"/>
              </w:rPr>
              <w:t>University Relations Cells (URC)</w:t>
            </w:r>
          </w:p>
        </w:tc>
        <w:tc>
          <w:tcPr>
            <w:tcW w:type="dxa" w:w="4680"/>
            <w:shd w:fill="F8FAFC"/>
            <w:tcMar>
              <w:top w:w="90" w:type="dxa"/>
              <w:bottom w:w="90" w:type="dxa"/>
              <w:left w:w="120" w:type="dxa"/>
              <w:right w:w="120" w:type="dxa"/>
            </w:tcMar>
          </w:tcPr>
          <w:p>
            <w:r>
              <w:rPr>
                <w:rFonts w:ascii="Arial" w:hAnsi="Arial"/>
                <w:color w:val="1F2937"/>
                <w:sz w:val="19"/>
              </w:rPr>
              <w:t>Dedicated cells inside corporate enterprises and MSME federations responsible for converting internal technical bottlenecks into well-scoped student/faculty problem statements.</w:t>
            </w:r>
          </w:p>
        </w:tc>
      </w:tr>
      <w:tr>
        <w:tc>
          <w:tcPr>
            <w:tcW w:type="dxa" w:w="4680"/>
            <w:shd w:fill="FFFFFF"/>
            <w:tcMar>
              <w:top w:w="90" w:type="dxa"/>
              <w:bottom w:w="90" w:type="dxa"/>
              <w:left w:w="120" w:type="dxa"/>
              <w:right w:w="120" w:type="dxa"/>
            </w:tcMar>
          </w:tcPr>
          <w:p>
            <w:r>
              <w:rPr>
                <w:rFonts w:ascii="Arial" w:hAnsi="Arial"/>
                <w:b/>
                <w:color w:val="1A365D"/>
                <w:sz w:val="19"/>
              </w:rPr>
              <w:t>Academic Governance &amp; Exchange</w:t>
            </w:r>
          </w:p>
        </w:tc>
        <w:tc>
          <w:tcPr>
            <w:tcW w:type="dxa" w:w="4680"/>
            <w:shd w:fill="FFFFFF"/>
            <w:tcMar>
              <w:top w:w="90" w:type="dxa"/>
              <w:bottom w:w="90" w:type="dxa"/>
              <w:left w:w="120" w:type="dxa"/>
              <w:right w:w="120" w:type="dxa"/>
            </w:tcMar>
          </w:tcPr>
          <w:p>
            <w:r>
              <w:rPr>
                <w:rFonts w:ascii="Arial" w:hAnsi="Arial"/>
                <w:color w:val="1F2937"/>
                <w:sz w:val="19"/>
              </w:rPr>
              <w:t>Formal mechanisms for appointing corporate veterans as Professors of Practice, faculty sabbaticals in industrial labs, and factoring real-world project mentoring into faculty appraisal/promotions.</w:t>
            </w:r>
          </w:p>
        </w:tc>
      </w:tr>
    </w:tbl>
    <w:p>
      <w:pPr>
        <w:keepNext/>
        <w:spacing w:before="360" w:after="120"/>
      </w:pPr>
      <w:r>
        <w:rPr>
          <w:rFonts w:ascii="Arial" w:hAnsi="Arial"/>
          <w:b/>
          <w:color w:val="1A365D"/>
          <w:sz w:val="32"/>
        </w:rPr>
        <w:t>4. Core Platform Architecture (Four Pillars)</w:t>
      </w:r>
    </w:p>
    <w:p>
      <w:pPr>
        <w:spacing w:before="0" w:after="120" w:line="276" w:lineRule="auto"/>
      </w:pPr>
      <w:r>
        <w:rPr>
          <w:rFonts w:ascii="Arial" w:hAnsi="Arial"/>
          <w:color w:val="1F2937"/>
          <w:sz w:val="21"/>
        </w:rPr>
        <w:t>UNIBRIDGE is engineered around four deeply integrated functional pillars that transform abstract corporate collaboration into actionable academic workflows:</w:t>
      </w:r>
    </w:p>
    <w:p>
      <w:pPr>
        <w:keepNext/>
        <w:spacing w:before="280" w:after="80"/>
      </w:pPr>
      <w:r>
        <w:rPr>
          <w:rFonts w:ascii="Arial" w:hAnsi="Arial"/>
          <w:b/>
          <w:color w:val="0D9488"/>
          <w:sz w:val="25"/>
        </w:rPr>
        <w:t>Pillar A: Industry Problem Repository</w:t>
      </w:r>
    </w:p>
    <w:p>
      <w:pPr>
        <w:spacing w:before="0" w:after="120" w:line="276" w:lineRule="auto"/>
      </w:pPr>
      <w:r>
        <w:rPr>
          <w:rFonts w:ascii="Arial" w:hAnsi="Arial"/>
          <w:color w:val="1F2937"/>
          <w:sz w:val="21"/>
        </w:rPr>
        <w:t>Companies post concrete engineering, logistical, computational, or management challenges rather than generic job vacancies. Each post enforces a rigorous technical schema: required skill sets, target deliverables, dataset access, difficulty rating, timeline/milestones, mentorship availability, and target audience (individual student, capstone team, postgraduate researcher, or faculty-led lab). This replaces vague internship listings with unambiguous, actionable engineering specifications.</w:t>
      </w:r>
    </w:p>
    <w:p>
      <w:pPr>
        <w:keepNext/>
        <w:spacing w:before="280" w:after="80"/>
      </w:pPr>
      <w:r>
        <w:rPr>
          <w:rFonts w:ascii="Arial" w:hAnsi="Arial"/>
          <w:b/>
          <w:color w:val="0D9488"/>
          <w:sz w:val="25"/>
        </w:rPr>
        <w:t>Pillar B: Multi-Dimensional Academic Matching Engine</w:t>
      </w:r>
    </w:p>
    <w:p>
      <w:pPr>
        <w:spacing w:before="0" w:after="120" w:line="276" w:lineRule="auto"/>
      </w:pPr>
      <w:r>
        <w:rPr>
          <w:rFonts w:ascii="Arial" w:hAnsi="Arial"/>
          <w:color w:val="1F2937"/>
          <w:sz w:val="21"/>
        </w:rPr>
        <w:t>An algorithmic matching engine maps industry problem parameters against academic taxonomies: Department, Academic Level (UG/PG/PhD), Specific Course/Subject, UGC Learning Outcomes, Faculty Research Specializations, and Pre-requisite Skill Matrices. The system recommends challenges that directly satisfy upcoming semester curriculum credits, ensuring real-world work is structurally embedded into the degree program.</w:t>
      </w:r>
    </w:p>
    <w:p>
      <w:pPr>
        <w:keepNext/>
        <w:spacing w:before="280" w:after="80"/>
      </w:pPr>
      <w:r>
        <w:rPr>
          <w:rFonts w:ascii="Arial" w:hAnsi="Arial"/>
          <w:b/>
          <w:color w:val="0D9488"/>
          <w:sz w:val="25"/>
        </w:rPr>
        <w:t>Pillar C: Student Project Ecosystem &amp; Mentorship Workspace</w:t>
      </w:r>
    </w:p>
    <w:p>
      <w:pPr>
        <w:spacing w:before="0" w:after="120" w:line="276" w:lineRule="auto"/>
      </w:pPr>
      <w:r>
        <w:rPr>
          <w:rFonts w:ascii="Arial" w:hAnsi="Arial"/>
          <w:color w:val="1F2937"/>
          <w:sz w:val="21"/>
        </w:rPr>
        <w:t>Students discover and claim approved industry problems to fulfill degree requirements across diverse formats: Semester Minor Projects, Final-Year Capstone Projects, Sponsored Hackathons, Credit-bearing Internships, and Research Lab Fellowships. Dual-mentorship dashboards allow university professors to oversee academic rigor while corporate engineers provide agile industry guidance.</w:t>
      </w:r>
    </w:p>
    <w:p>
      <w:pPr>
        <w:keepNext/>
        <w:spacing w:before="280" w:after="80"/>
      </w:pPr>
      <w:r>
        <w:rPr>
          <w:rFonts w:ascii="Arial" w:hAnsi="Arial"/>
          <w:b/>
          <w:color w:val="0D9488"/>
          <w:sz w:val="25"/>
        </w:rPr>
        <w:t>Pillar D: Rigorous Industry Evaluation &amp; Curriculum Feedback Hub</w:t>
      </w:r>
    </w:p>
    <w:p>
      <w:pPr>
        <w:spacing w:before="0" w:after="120" w:line="276" w:lineRule="auto"/>
      </w:pPr>
      <w:r>
        <w:rPr>
          <w:rFonts w:ascii="Arial" w:hAnsi="Arial"/>
          <w:color w:val="1F2937"/>
          <w:sz w:val="21"/>
        </w:rPr>
        <w:t>Upon project submission, industry engineers evaluate solutions based on code quality, scalability, security, business viability, and documentation. This evaluation generates a cryptographic, verified digital credential for the student. More critically, aggregated evaluation metrics generate automated 'Skill-Gap Telemetry' for University Academic Boards, highlighting outdated libraries, missing tools, and emerging concepts that must be integrated into the syllabus.</w:t>
      </w:r>
    </w:p>
    <w:p>
      <w:pPr>
        <w:keepNext/>
        <w:spacing w:before="360" w:after="120"/>
      </w:pPr>
      <w:r>
        <w:rPr>
          <w:rFonts w:ascii="Arial" w:hAnsi="Arial"/>
          <w:b/>
          <w:color w:val="1A365D"/>
          <w:sz w:val="32"/>
        </w:rPr>
        <w:t>5. In-Depth Student Impact &amp; Value Proposition</w:t>
      </w:r>
    </w:p>
    <w:p>
      <w:pPr>
        <w:spacing w:before="0" w:after="120" w:line="276" w:lineRule="auto"/>
      </w:pPr>
      <w:r>
        <w:rPr>
          <w:rFonts w:ascii="Arial" w:hAnsi="Arial"/>
          <w:color w:val="1F2937"/>
          <w:sz w:val="21"/>
        </w:rPr>
        <w:t>The student is the primary beneficiary and catalyst of the UNIBRIDGE ecosystem. Below is a structured breakdown of how UNIBRIDGE transforms the student trajectory:</w:t>
      </w:r>
    </w:p>
    <w:p>
      <w:pPr>
        <w:keepNext/>
        <w:spacing w:before="280" w:after="80"/>
      </w:pPr>
      <w:r>
        <w:rPr>
          <w:rFonts w:ascii="Arial" w:hAnsi="Arial"/>
          <w:b/>
          <w:color w:val="0D9488"/>
          <w:sz w:val="25"/>
        </w:rPr>
        <w:t>5.1 Real-World Experience Under Real Operational Constraints</w:t>
      </w:r>
    </w:p>
    <w:p>
      <w:pPr>
        <w:spacing w:before="0" w:after="120" w:line="276" w:lineRule="auto"/>
      </w:pPr>
      <w:r>
        <w:rPr>
          <w:rFonts w:ascii="Arial" w:hAnsi="Arial"/>
          <w:color w:val="1F2937"/>
          <w:sz w:val="21"/>
        </w:rPr>
        <w:t>Traditional textbook assignments run in artificial environments where edge cases are ignored and resources are unbounded. On UNIBRIDGE, students engineer solutions within strict industrial parameters:</w:t>
      </w:r>
    </w:p>
    <w:p>
      <w:pPr>
        <w:spacing w:before="20" w:after="60" w:line="276" w:lineRule="auto"/>
        <w:ind w:left="360"/>
      </w:pPr>
      <w:r>
        <w:rPr>
          <w:rFonts w:ascii="Arial" w:hAnsi="Arial"/>
          <w:b/>
          <w:color w:val="1A365D"/>
          <w:sz w:val="20"/>
        </w:rPr>
        <w:t xml:space="preserve">▪  Resource &amp; Budget Scarcity: </w:t>
      </w:r>
      <w:r>
        <w:rPr>
          <w:rFonts w:ascii="Arial" w:hAnsi="Arial"/>
          <w:color w:val="1F2937"/>
          <w:sz w:val="20"/>
        </w:rPr>
        <w:t>Designing architectures that optimize cloud compute costs, memory footprints, and power constraints.</w:t>
      </w:r>
    </w:p>
    <w:p>
      <w:pPr>
        <w:spacing w:before="20" w:after="60" w:line="276" w:lineRule="auto"/>
        <w:ind w:left="360"/>
      </w:pPr>
      <w:r>
        <w:rPr>
          <w:rFonts w:ascii="Arial" w:hAnsi="Arial"/>
          <w:b/>
          <w:color w:val="1A365D"/>
          <w:sz w:val="20"/>
        </w:rPr>
        <w:t xml:space="preserve">▪  Strict Timelines &amp; SLA Deliverables: </w:t>
      </w:r>
      <w:r>
        <w:rPr>
          <w:rFonts w:ascii="Arial" w:hAnsi="Arial"/>
          <w:color w:val="1F2937"/>
          <w:sz w:val="20"/>
        </w:rPr>
        <w:t>Adhering to sprint milestones, production schedules, and agile standups rather than relaxed assignment deadlines.</w:t>
      </w:r>
    </w:p>
    <w:p>
      <w:pPr>
        <w:spacing w:before="20" w:after="60" w:line="276" w:lineRule="auto"/>
        <w:ind w:left="360"/>
      </w:pPr>
      <w:r>
        <w:rPr>
          <w:rFonts w:ascii="Arial" w:hAnsi="Arial"/>
          <w:b/>
          <w:color w:val="1A365D"/>
          <w:sz w:val="20"/>
        </w:rPr>
        <w:t xml:space="preserve">▪  User-Centric &amp; Business Requirements: </w:t>
      </w:r>
      <w:r>
        <w:rPr>
          <w:rFonts w:ascii="Arial" w:hAnsi="Arial"/>
          <w:color w:val="1F2937"/>
          <w:sz w:val="20"/>
        </w:rPr>
        <w:t>Balancing raw algorithmic performance against user accessibility, data privacy laws, and commercial profitability.</w:t>
      </w:r>
    </w:p>
    <w:p>
      <w:pPr>
        <w:spacing w:before="20" w:after="60" w:line="276" w:lineRule="auto"/>
        <w:ind w:left="360"/>
      </w:pPr>
      <w:r>
        <w:rPr>
          <w:rFonts w:ascii="Arial" w:hAnsi="Arial"/>
          <w:b/>
          <w:color w:val="1A365D"/>
          <w:sz w:val="20"/>
        </w:rPr>
        <w:t xml:space="preserve">▪  Scalability, Fault Tolerance &amp; Reliability: </w:t>
      </w:r>
      <w:r>
        <w:rPr>
          <w:rFonts w:ascii="Arial" w:hAnsi="Arial"/>
          <w:color w:val="1F2937"/>
          <w:sz w:val="20"/>
        </w:rPr>
        <w:t>Engineering fault-tolerant systems capable of handling unexpected traffic spikes and data corruption.</w:t>
      </w:r>
    </w:p>
    <w:p>
      <w:pPr>
        <w:keepNext/>
        <w:spacing w:before="280" w:after="80"/>
      </w:pPr>
      <w:r>
        <w:rPr>
          <w:rFonts w:ascii="Arial" w:hAnsi="Arial"/>
          <w:b/>
          <w:color w:val="0D9488"/>
          <w:sz w:val="25"/>
        </w:rPr>
        <w:t>5.2 Proven Employability &amp; Verifiable Digital Portfolios</w:t>
      </w:r>
    </w:p>
    <w:p>
      <w:pPr>
        <w:spacing w:before="0" w:after="120" w:line="276" w:lineRule="auto"/>
      </w:pPr>
      <w:r>
        <w:rPr>
          <w:rFonts w:ascii="Arial" w:hAnsi="Arial"/>
          <w:color w:val="1F2937"/>
          <w:sz w:val="21"/>
        </w:rPr>
        <w:t>A typical resume containing bullet points of toy projects (e.g., standard to-do lists, basic weather apps) no longer differentiates candidates. UNIBRIDGE equips graduates with an immutable, industry-endorsed digital portfolio. Recruiters can inspect real codebase pull requests, benchmarking results, and verified performance reviews written by practicing industrial mentors.</w:t>
      </w:r>
    </w:p>
    <w:p>
      <w:pPr>
        <w:keepNext/>
        <w:spacing w:before="280" w:after="80"/>
      </w:pPr>
      <w:r>
        <w:rPr>
          <w:rFonts w:ascii="Arial" w:hAnsi="Arial"/>
          <w:b/>
          <w:color w:val="0D9488"/>
          <w:sz w:val="25"/>
        </w:rPr>
        <w:t>5.3 Early Career Clarity &amp; Targeted Specialization</w:t>
      </w:r>
    </w:p>
    <w:p>
      <w:pPr>
        <w:spacing w:before="0" w:after="120" w:line="276" w:lineRule="auto"/>
      </w:pPr>
      <w:r>
        <w:rPr>
          <w:rFonts w:ascii="Arial" w:hAnsi="Arial"/>
          <w:color w:val="1F2937"/>
          <w:sz w:val="21"/>
        </w:rPr>
        <w:t>Many undergraduates select job profiles based on market buzz rather than firsthand experience. By tackling real challenges across diverse sectors (FinTech, Embedded IoT, Supply Chain, AI/ML, CleanTech) during semesters 3 through 7, students identify their genuine aptitudes early, enabling focused elective choices and specialized career trajectories before campus placements begin.</w:t>
      </w:r>
    </w:p>
    <w:p>
      <w:pPr>
        <w:keepNext/>
        <w:spacing w:before="280" w:after="80"/>
      </w:pPr>
      <w:r>
        <w:rPr>
          <w:rFonts w:ascii="Arial" w:hAnsi="Arial"/>
          <w:b/>
          <w:color w:val="0D9488"/>
          <w:sz w:val="25"/>
        </w:rPr>
        <w:t>5.4 Organic Professional Networking</w:t>
      </w:r>
    </w:p>
    <w:p>
      <w:pPr>
        <w:spacing w:before="0" w:after="120" w:line="276" w:lineRule="auto"/>
      </w:pPr>
      <w:r>
        <w:rPr>
          <w:rFonts w:ascii="Arial" w:hAnsi="Arial"/>
          <w:color w:val="1F2937"/>
          <w:sz w:val="21"/>
        </w:rPr>
        <w:t>Cold LinkedIn messaging yields low engagement. UNIBRIDGE facilitates meaningful, organic networking founded on direct technical collaboration. Students build lasting relationships with engineering managers, technical leads, and research scientists who have witnessed their problem-solving abilities, work ethic, and adaptability firsthand over multi-month project engagements.</w:t>
      </w:r>
    </w:p>
    <w:p>
      <w:pPr>
        <w:keepNext/>
        <w:spacing w:before="280" w:after="80"/>
      </w:pPr>
      <w:r>
        <w:rPr>
          <w:rFonts w:ascii="Arial" w:hAnsi="Arial"/>
          <w:b/>
          <w:color w:val="0D9488"/>
          <w:sz w:val="25"/>
        </w:rPr>
        <w:t>5.5 Industry-Driven Research Opportunities</w:t>
      </w:r>
    </w:p>
    <w:p>
      <w:pPr>
        <w:spacing w:before="0" w:after="120" w:line="276" w:lineRule="auto"/>
      </w:pPr>
      <w:r>
        <w:rPr>
          <w:rFonts w:ascii="Arial" w:hAnsi="Arial"/>
          <w:color w:val="1F2937"/>
          <w:sz w:val="21"/>
        </w:rPr>
        <w:t>For students aspiring toward masters and doctoral degrees, UNIBRIDGE transforms applied industrial friction into rich academic inquiry. Unresolved edge cases from corporate challenges provide authentic hypotheses for publishable conference papers, co-authored patents, and sponsored research grants.</w:t>
      </w:r>
    </w:p>
    <w:p>
      <w:pPr>
        <w:keepNext/>
        <w:spacing w:before="360" w:after="120"/>
      </w:pPr>
      <w:r>
        <w:rPr>
          <w:rFonts w:ascii="Arial" w:hAnsi="Arial"/>
          <w:b/>
          <w:color w:val="1A365D"/>
          <w:sz w:val="32"/>
        </w:rPr>
        <w:t>6. Comparative Analysis: UNIBRIDGE vs Conventional Portals</w:t>
      </w:r>
    </w:p>
    <w:p>
      <w:pPr>
        <w:spacing w:before="0" w:after="120" w:line="276" w:lineRule="auto"/>
      </w:pPr>
      <w:r>
        <w:rPr>
          <w:rFonts w:ascii="Arial" w:hAnsi="Arial"/>
          <w:color w:val="1F2937"/>
          <w:sz w:val="21"/>
        </w:rPr>
        <w:t>It is critical to distinguish UNIBRIDGE from conventional job boards and internship aggregators (e.g., Internshala, LinkedIn, Naukri). While conventional portals function as static digital notice boards for job openings, UNIBRIDGE is an end-to-end pedagogical and technological integration engine.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1A365D"/>
            <w:tcMar>
              <w:top w:w="100" w:type="dxa"/>
              <w:bottom w:w="100" w:type="dxa"/>
              <w:left w:w="120" w:type="dxa"/>
              <w:right w:w="120" w:type="dxa"/>
            </w:tcMar>
          </w:tcPr>
          <w:p>
            <w:r>
              <w:rPr>
                <w:rFonts w:ascii="Arial" w:hAnsi="Arial"/>
                <w:b/>
                <w:color w:val="FFFFFF"/>
                <w:sz w:val="20"/>
              </w:rPr>
              <w:t>Evaluation Vector</w:t>
            </w:r>
          </w:p>
        </w:tc>
        <w:tc>
          <w:tcPr>
            <w:tcW w:type="dxa" w:w="3120"/>
            <w:shd w:fill="1A365D"/>
            <w:tcMar>
              <w:top w:w="100" w:type="dxa"/>
              <w:bottom w:w="100" w:type="dxa"/>
              <w:left w:w="120" w:type="dxa"/>
              <w:right w:w="120" w:type="dxa"/>
            </w:tcMar>
          </w:tcPr>
          <w:p>
            <w:r>
              <w:rPr>
                <w:rFonts w:ascii="Arial" w:hAnsi="Arial"/>
                <w:b/>
                <w:color w:val="FFFFFF"/>
                <w:sz w:val="20"/>
              </w:rPr>
              <w:t>Conventional Internship Portals</w:t>
            </w:r>
          </w:p>
        </w:tc>
        <w:tc>
          <w:tcPr>
            <w:tcW w:type="dxa" w:w="3120"/>
            <w:shd w:fill="0D9488"/>
            <w:tcMar>
              <w:top w:w="100" w:type="dxa"/>
              <w:bottom w:w="100" w:type="dxa"/>
              <w:left w:w="120" w:type="dxa"/>
              <w:right w:w="120" w:type="dxa"/>
            </w:tcMar>
          </w:tcPr>
          <w:p>
            <w:r>
              <w:rPr>
                <w:rFonts w:ascii="Arial" w:hAnsi="Arial"/>
                <w:b/>
                <w:color w:val="FFFFFF"/>
                <w:sz w:val="20"/>
              </w:rPr>
              <w:t>UNIBRIDGE Platform</w:t>
            </w:r>
          </w:p>
        </w:tc>
      </w:tr>
      <w:tr>
        <w:tc>
          <w:tcPr>
            <w:tcW w:type="dxa" w:w="3120"/>
            <w:shd w:fill="F8FAFC"/>
            <w:tcMar>
              <w:top w:w="80" w:type="dxa"/>
              <w:bottom w:w="80" w:type="dxa"/>
              <w:left w:w="100" w:type="dxa"/>
              <w:right w:w="100" w:type="dxa"/>
            </w:tcMar>
          </w:tcPr>
          <w:p>
            <w:r>
              <w:rPr>
                <w:rFonts w:ascii="Arial" w:hAnsi="Arial"/>
                <w:b/>
                <w:color w:val="1A365D"/>
                <w:sz w:val="18"/>
              </w:rPr>
              <w:t>Core Question Asked</w:t>
            </w:r>
          </w:p>
        </w:tc>
        <w:tc>
          <w:tcPr>
            <w:tcW w:type="dxa" w:w="3120"/>
            <w:shd w:fill="F8FAFC"/>
            <w:tcMar>
              <w:top w:w="80" w:type="dxa"/>
              <w:bottom w:w="80" w:type="dxa"/>
              <w:left w:w="100" w:type="dxa"/>
              <w:right w:w="100" w:type="dxa"/>
            </w:tcMar>
          </w:tcPr>
          <w:p>
            <w:r>
              <w:rPr>
                <w:rFonts w:ascii="Arial" w:hAnsi="Arial"/>
                <w:color w:val="1F2937"/>
                <w:sz w:val="18"/>
              </w:rPr>
              <w:t>“Which company has a vacant internship seat right now?”</w:t>
            </w:r>
          </w:p>
        </w:tc>
        <w:tc>
          <w:tcPr>
            <w:tcW w:type="dxa" w:w="3120"/>
            <w:shd w:fill="E6FFFA"/>
            <w:tcMar>
              <w:top w:w="80" w:type="dxa"/>
              <w:bottom w:w="80" w:type="dxa"/>
              <w:left w:w="100" w:type="dxa"/>
              <w:right w:w="100" w:type="dxa"/>
            </w:tcMar>
          </w:tcPr>
          <w:p>
            <w:r>
              <w:rPr>
                <w:rFonts w:ascii="Arial" w:hAnsi="Arial"/>
                <w:b/>
                <w:color w:val="1A365D"/>
                <w:sz w:val="18"/>
              </w:rPr>
              <w:t>“What real problems exist, where are the required skills taught, who can solve them, and how does the result modernize education?”</w:t>
            </w:r>
          </w:p>
        </w:tc>
      </w:tr>
      <w:tr>
        <w:tc>
          <w:tcPr>
            <w:tcW w:type="dxa" w:w="3120"/>
            <w:shd w:fill="FFFFFF"/>
            <w:tcMar>
              <w:top w:w="80" w:type="dxa"/>
              <w:bottom w:w="80" w:type="dxa"/>
              <w:left w:w="100" w:type="dxa"/>
              <w:right w:w="100" w:type="dxa"/>
            </w:tcMar>
          </w:tcPr>
          <w:p>
            <w:r>
              <w:rPr>
                <w:rFonts w:ascii="Arial" w:hAnsi="Arial"/>
                <w:b/>
                <w:color w:val="1A365D"/>
                <w:sz w:val="18"/>
              </w:rPr>
              <w:t>Academic Integration</w:t>
            </w:r>
          </w:p>
        </w:tc>
        <w:tc>
          <w:tcPr>
            <w:tcW w:type="dxa" w:w="3120"/>
            <w:shd w:fill="FFFFFF"/>
            <w:tcMar>
              <w:top w:w="80" w:type="dxa"/>
              <w:bottom w:w="80" w:type="dxa"/>
              <w:left w:w="100" w:type="dxa"/>
              <w:right w:w="100" w:type="dxa"/>
            </w:tcMar>
          </w:tcPr>
          <w:p>
            <w:r>
              <w:rPr>
                <w:rFonts w:ascii="Arial" w:hAnsi="Arial"/>
                <w:color w:val="1F2937"/>
                <w:sz w:val="18"/>
              </w:rPr>
              <w:t>Completely isolated from college curriculum, semester capstones, and UGC credit systems.</w:t>
            </w:r>
          </w:p>
        </w:tc>
        <w:tc>
          <w:tcPr>
            <w:tcW w:type="dxa" w:w="3120"/>
            <w:shd w:fill="F2FAF9"/>
            <w:tcMar>
              <w:top w:w="80" w:type="dxa"/>
              <w:bottom w:w="80" w:type="dxa"/>
              <w:left w:w="100" w:type="dxa"/>
              <w:right w:w="100" w:type="dxa"/>
            </w:tcMar>
          </w:tcPr>
          <w:p>
            <w:r>
              <w:rPr>
                <w:rFonts w:ascii="Arial" w:hAnsi="Arial"/>
                <w:b/>
                <w:color w:val="1A365D"/>
                <w:sz w:val="18"/>
              </w:rPr>
              <w:t>Directly embedded into semester course credits, capstones, and university learning outcomes.</w:t>
            </w:r>
          </w:p>
        </w:tc>
      </w:tr>
      <w:tr>
        <w:tc>
          <w:tcPr>
            <w:tcW w:type="dxa" w:w="3120"/>
            <w:shd w:fill="F8FAFC"/>
            <w:tcMar>
              <w:top w:w="80" w:type="dxa"/>
              <w:bottom w:w="80" w:type="dxa"/>
              <w:left w:w="100" w:type="dxa"/>
              <w:right w:w="100" w:type="dxa"/>
            </w:tcMar>
          </w:tcPr>
          <w:p>
            <w:r>
              <w:rPr>
                <w:rFonts w:ascii="Arial" w:hAnsi="Arial"/>
                <w:b/>
                <w:color w:val="1A365D"/>
                <w:sz w:val="18"/>
              </w:rPr>
              <w:t>Verification &amp; Evaluation</w:t>
            </w:r>
          </w:p>
        </w:tc>
        <w:tc>
          <w:tcPr>
            <w:tcW w:type="dxa" w:w="3120"/>
            <w:shd w:fill="F8FAFC"/>
            <w:tcMar>
              <w:top w:w="80" w:type="dxa"/>
              <w:bottom w:w="80" w:type="dxa"/>
              <w:left w:w="100" w:type="dxa"/>
              <w:right w:w="100" w:type="dxa"/>
            </w:tcMar>
          </w:tcPr>
          <w:p>
            <w:r>
              <w:rPr>
                <w:rFonts w:ascii="Arial" w:hAnsi="Arial"/>
                <w:color w:val="1F2937"/>
                <w:sz w:val="18"/>
              </w:rPr>
              <w:t>Basic certificates of completion or attendance letters with no code verification.</w:t>
            </w:r>
          </w:p>
        </w:tc>
        <w:tc>
          <w:tcPr>
            <w:tcW w:type="dxa" w:w="3120"/>
            <w:shd w:fill="E6FFFA"/>
            <w:tcMar>
              <w:top w:w="80" w:type="dxa"/>
              <w:bottom w:w="80" w:type="dxa"/>
              <w:left w:w="100" w:type="dxa"/>
              <w:right w:w="100" w:type="dxa"/>
            </w:tcMar>
          </w:tcPr>
          <w:p>
            <w:r>
              <w:rPr>
                <w:rFonts w:ascii="Arial" w:hAnsi="Arial"/>
                <w:b/>
                <w:color w:val="1A365D"/>
                <w:sz w:val="18"/>
              </w:rPr>
              <w:t>Rigorous technical evaluations, code reviews, and cryptographically verified skill portfolios.</w:t>
            </w:r>
          </w:p>
        </w:tc>
      </w:tr>
      <w:tr>
        <w:tc>
          <w:tcPr>
            <w:tcW w:type="dxa" w:w="3120"/>
            <w:shd w:fill="FFFFFF"/>
            <w:tcMar>
              <w:top w:w="80" w:type="dxa"/>
              <w:bottom w:w="80" w:type="dxa"/>
              <w:left w:w="100" w:type="dxa"/>
              <w:right w:w="100" w:type="dxa"/>
            </w:tcMar>
          </w:tcPr>
          <w:p>
            <w:r>
              <w:rPr>
                <w:rFonts w:ascii="Arial" w:hAnsi="Arial"/>
                <w:b/>
                <w:color w:val="1A365D"/>
                <w:sz w:val="18"/>
              </w:rPr>
              <w:t>Curriculum Feedback Loop</w:t>
            </w:r>
          </w:p>
        </w:tc>
        <w:tc>
          <w:tcPr>
            <w:tcW w:type="dxa" w:w="3120"/>
            <w:shd w:fill="FFFFFF"/>
            <w:tcMar>
              <w:top w:w="80" w:type="dxa"/>
              <w:bottom w:w="80" w:type="dxa"/>
              <w:left w:w="100" w:type="dxa"/>
              <w:right w:w="100" w:type="dxa"/>
            </w:tcMar>
          </w:tcPr>
          <w:p>
            <w:r>
              <w:rPr>
                <w:rFonts w:ascii="Arial" w:hAnsi="Arial"/>
                <w:color w:val="1F2937"/>
                <w:sz w:val="18"/>
              </w:rPr>
              <w:t>Zero feedback provided to university academic boards. Syllabi remain static.</w:t>
            </w:r>
          </w:p>
        </w:tc>
        <w:tc>
          <w:tcPr>
            <w:tcW w:type="dxa" w:w="3120"/>
            <w:shd w:fill="F2FAF9"/>
            <w:tcMar>
              <w:top w:w="80" w:type="dxa"/>
              <w:bottom w:w="80" w:type="dxa"/>
              <w:left w:w="100" w:type="dxa"/>
              <w:right w:w="100" w:type="dxa"/>
            </w:tcMar>
          </w:tcPr>
          <w:p>
            <w:r>
              <w:rPr>
                <w:rFonts w:ascii="Arial" w:hAnsi="Arial"/>
                <w:b/>
                <w:color w:val="1A365D"/>
                <w:sz w:val="18"/>
              </w:rPr>
              <w:t>Automated Skill-Gap Telemetry fed directly to Boards of Studies to update university curricula.</w:t>
            </w:r>
          </w:p>
        </w:tc>
      </w:tr>
      <w:tr>
        <w:tc>
          <w:tcPr>
            <w:tcW w:type="dxa" w:w="3120"/>
            <w:shd w:fill="F8FAFC"/>
            <w:tcMar>
              <w:top w:w="80" w:type="dxa"/>
              <w:bottom w:w="80" w:type="dxa"/>
              <w:left w:w="100" w:type="dxa"/>
              <w:right w:w="100" w:type="dxa"/>
            </w:tcMar>
          </w:tcPr>
          <w:p>
            <w:r>
              <w:rPr>
                <w:rFonts w:ascii="Arial" w:hAnsi="Arial"/>
                <w:b/>
                <w:color w:val="1A365D"/>
                <w:sz w:val="18"/>
              </w:rPr>
              <w:t>Ecosystem Breadth</w:t>
            </w:r>
          </w:p>
        </w:tc>
        <w:tc>
          <w:tcPr>
            <w:tcW w:type="dxa" w:w="3120"/>
            <w:shd w:fill="F8FAFC"/>
            <w:tcMar>
              <w:top w:w="80" w:type="dxa"/>
              <w:bottom w:w="80" w:type="dxa"/>
              <w:left w:w="100" w:type="dxa"/>
              <w:right w:w="100" w:type="dxa"/>
            </w:tcMar>
          </w:tcPr>
          <w:p>
            <w:r>
              <w:rPr>
                <w:rFonts w:ascii="Arial" w:hAnsi="Arial"/>
                <w:color w:val="1F2937"/>
                <w:sz w:val="18"/>
              </w:rPr>
              <w:t>One-to-one transactional relationship (Single Student ↔ HR Recruiter).</w:t>
            </w:r>
          </w:p>
        </w:tc>
        <w:tc>
          <w:tcPr>
            <w:tcW w:type="dxa" w:w="3120"/>
            <w:shd w:fill="E6FFFA"/>
            <w:tcMar>
              <w:top w:w="80" w:type="dxa"/>
              <w:bottom w:w="80" w:type="dxa"/>
              <w:left w:w="100" w:type="dxa"/>
              <w:right w:w="100" w:type="dxa"/>
            </w:tcMar>
          </w:tcPr>
          <w:p>
            <w:r>
              <w:rPr>
                <w:rFonts w:ascii="Arial" w:hAnsi="Arial"/>
                <w:b/>
                <w:color w:val="1A365D"/>
                <w:sz w:val="18"/>
              </w:rPr>
              <w:t>Continuous multi-stakeholder ecosystem (Students + Faculty + Researchers + Labs + Industry R&amp;D).</w:t>
            </w:r>
          </w:p>
        </w:tc>
      </w:tr>
    </w:tbl>
    <w:p>
      <w:pPr>
        <w:spacing w:before="160" w:after="160"/>
      </w:pPr>
    </w:p>
    <w:p>
      <w:pPr>
        <w:keepNext/>
        <w:spacing w:before="360" w:after="120"/>
      </w:pPr>
      <w:r>
        <w:rPr>
          <w:rFonts w:ascii="Arial" w:hAnsi="Arial"/>
          <w:b/>
          <w:color w:val="1A365D"/>
          <w:sz w:val="32"/>
        </w:rPr>
        <w:t>7. The Complete Ecosystem Workflow Architecture</w:t>
      </w:r>
    </w:p>
    <w:p>
      <w:pPr>
        <w:spacing w:before="0" w:after="120" w:line="276" w:lineRule="auto"/>
      </w:pPr>
      <w:r>
        <w:rPr>
          <w:rFonts w:ascii="Arial" w:hAnsi="Arial"/>
          <w:color w:val="1F2937"/>
          <w:sz w:val="21"/>
        </w:rPr>
        <w:t>The UNIBRIDGE platform integrates eight interrelated dimensions of higher education into a perpetual, self-sustaining loop:</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36" w:space="0" w:color="1A365D"/>
              <w:bottom w:val="none"/>
              <w:right w:val="none"/>
            </w:tcBorders>
            <w:tcMar>
              <w:top w:w="140" w:type="dxa"/>
              <w:bottom w:w="140" w:type="dxa"/>
              <w:left w:w="200" w:type="dxa"/>
              <w:right w:w="180" w:type="dxa"/>
            </w:tcMar>
          </w:tcPr>
          <w:p>
            <w:pPr>
              <w:spacing w:before="0" w:after="80"/>
            </w:pPr>
            <w:r>
              <w:rPr>
                <w:rFonts w:ascii="Arial" w:hAnsi="Arial"/>
                <w:b/>
                <w:color w:val="1A365D"/>
                <w:sz w:val="19"/>
              </w:rPr>
              <w:t>✦  THE UNIFIED ECOSYSTEM EQUATION</w:t>
            </w:r>
          </w:p>
          <w:p>
            <w:pPr>
              <w:spacing w:before="40" w:after="40" w:line="276" w:lineRule="auto"/>
            </w:pPr>
            <w:r>
              <w:rPr>
                <w:rFonts w:ascii="Arial" w:hAnsi="Arial"/>
                <w:b/>
                <w:color w:val="0D9488"/>
                <w:sz w:val="20"/>
              </w:rPr>
              <w:t xml:space="preserve">• </w:t>
            </w:r>
            <w:r>
              <w:rPr>
                <w:rFonts w:ascii="Arial" w:hAnsi="Arial"/>
                <w:color w:val="1F2937"/>
                <w:sz w:val="20"/>
              </w:rPr>
              <w:t>Problems + Projects + Research + Internships + Mentorship + Evaluation + Skills + Curriculum + Employment</w:t>
            </w:r>
          </w:p>
          <w:p>
            <w:pPr>
              <w:spacing w:before="40" w:after="40" w:line="276" w:lineRule="auto"/>
            </w:pPr>
            <w:r>
              <w:rPr>
                <w:rFonts w:ascii="Arial" w:hAnsi="Arial"/>
                <w:b/>
                <w:color w:val="0D9488"/>
                <w:sz w:val="20"/>
              </w:rPr>
              <w:t xml:space="preserve">• </w:t>
            </w:r>
            <w:r>
              <w:rPr>
                <w:rFonts w:ascii="Arial" w:hAnsi="Arial"/>
                <w:color w:val="1F2937"/>
                <w:sz w:val="20"/>
              </w:rPr>
              <w:t>Continuous Macro Flow: Industry Challenge → Academic Routing → Collaborative Prototyping → Rigorous Industry Evaluation → Closed-Loop Feedback (Student Portfolio + Academic R&amp;D Data + Skill-Gap Telemetry) → Curriculum Modernization → Superior Talent Pipeline → Advanced Industry Solutions.</w:t>
            </w:r>
          </w:p>
        </w:tc>
      </w:tr>
    </w:tbl>
    <w:p>
      <w:pPr>
        <w:spacing w:before="80" w:after="80"/>
      </w:pPr>
    </w:p>
    <w:p>
      <w:pPr>
        <w:keepNext/>
        <w:spacing w:before="280" w:after="80"/>
      </w:pPr>
      <w:r>
        <w:rPr>
          <w:rFonts w:ascii="Arial" w:hAnsi="Arial"/>
          <w:b/>
          <w:color w:val="0D9488"/>
          <w:sz w:val="25"/>
        </w:rPr>
        <w:t>7.1 Step-by-Step Operational Lifecycle</w:t>
      </w:r>
    </w:p>
    <w:p>
      <w:pPr>
        <w:spacing w:before="20" w:after="60" w:line="276" w:lineRule="auto"/>
        <w:ind w:left="360"/>
      </w:pPr>
      <w:r>
        <w:rPr>
          <w:rFonts w:ascii="Arial" w:hAnsi="Arial"/>
          <w:b/>
          <w:color w:val="1A365D"/>
          <w:sz w:val="20"/>
        </w:rPr>
        <w:t xml:space="preserve">▪  Phase 1: Challenge Publishing: </w:t>
      </w:r>
      <w:r>
        <w:rPr>
          <w:rFonts w:ascii="Arial" w:hAnsi="Arial"/>
          <w:color w:val="1F2937"/>
          <w:sz w:val="20"/>
        </w:rPr>
        <w:t>Enterprises, startups, and MSMEs post operational bottlenecks or exploratory R&amp;D problems with clear technical criteria.</w:t>
      </w:r>
    </w:p>
    <w:p>
      <w:pPr>
        <w:spacing w:before="20" w:after="60" w:line="276" w:lineRule="auto"/>
        <w:ind w:left="360"/>
      </w:pPr>
      <w:r>
        <w:rPr>
          <w:rFonts w:ascii="Arial" w:hAnsi="Arial"/>
          <w:b/>
          <w:color w:val="1A365D"/>
          <w:sz w:val="20"/>
        </w:rPr>
        <w:t xml:space="preserve">▪  Phase 2: Academic Classification &amp; Routing: </w:t>
      </w:r>
      <w:r>
        <w:rPr>
          <w:rFonts w:ascii="Arial" w:hAnsi="Arial"/>
          <w:color w:val="1F2937"/>
          <w:sz w:val="20"/>
        </w:rPr>
        <w:t>Matching Engine maps challenges to corresponding faculties, courses, student teams, or specialized research labs.</w:t>
      </w:r>
    </w:p>
    <w:p>
      <w:pPr>
        <w:spacing w:before="20" w:after="60" w:line="276" w:lineRule="auto"/>
        <w:ind w:left="360"/>
      </w:pPr>
      <w:r>
        <w:rPr>
          <w:rFonts w:ascii="Arial" w:hAnsi="Arial"/>
          <w:b/>
          <w:color w:val="1A365D"/>
          <w:sz w:val="20"/>
        </w:rPr>
        <w:t xml:space="preserve">▪  Phase 3: Collaborative Solution Engineering: </w:t>
      </w:r>
      <w:r>
        <w:rPr>
          <w:rFonts w:ascii="Arial" w:hAnsi="Arial"/>
          <w:color w:val="1F2937"/>
          <w:sz w:val="20"/>
        </w:rPr>
        <w:t>Students work under joint supervision of faculty advisors and corporate technical mentors over a 3–6 month sprint.</w:t>
      </w:r>
    </w:p>
    <w:p>
      <w:pPr>
        <w:spacing w:before="20" w:after="60" w:line="276" w:lineRule="auto"/>
        <w:ind w:left="360"/>
      </w:pPr>
      <w:r>
        <w:rPr>
          <w:rFonts w:ascii="Arial" w:hAnsi="Arial"/>
          <w:b/>
          <w:color w:val="1A365D"/>
          <w:sz w:val="20"/>
        </w:rPr>
        <w:t xml:space="preserve">▪  Phase 4: Multi-Criteria Industry Evaluation: </w:t>
      </w:r>
      <w:r>
        <w:rPr>
          <w:rFonts w:ascii="Arial" w:hAnsi="Arial"/>
          <w:color w:val="1F2937"/>
          <w:sz w:val="20"/>
        </w:rPr>
        <w:t>Industry partners review production code, test benchmarks, and hardware prototypes against initial requirements.</w:t>
      </w:r>
    </w:p>
    <w:p>
      <w:pPr>
        <w:spacing w:before="20" w:after="60" w:line="276" w:lineRule="auto"/>
        <w:ind w:left="360"/>
      </w:pPr>
      <w:r>
        <w:rPr>
          <w:rFonts w:ascii="Arial" w:hAnsi="Arial"/>
          <w:b/>
          <w:color w:val="1A365D"/>
          <w:sz w:val="20"/>
        </w:rPr>
        <w:t xml:space="preserve">▪  Phase 5: Tri-Partite Feedback Distribution: </w:t>
      </w:r>
      <w:r>
        <w:rPr>
          <w:rFonts w:ascii="Arial" w:hAnsi="Arial"/>
          <w:color w:val="1F2937"/>
          <w:sz w:val="20"/>
        </w:rPr>
        <w:t>Evaluation scores bifurcate into three productive streams: (1) Verified student credentials for recruitment, (2) Research lab IP for publication/patenting, and (3) Aggregated skill deficiency data for syllabus revision.</w:t>
      </w:r>
    </w:p>
    <w:p>
      <w:pPr>
        <w:spacing w:before="20" w:after="60" w:line="276" w:lineRule="auto"/>
        <w:ind w:left="360"/>
      </w:pPr>
      <w:r>
        <w:rPr>
          <w:rFonts w:ascii="Arial" w:hAnsi="Arial"/>
          <w:b/>
          <w:color w:val="1A365D"/>
          <w:sz w:val="20"/>
        </w:rPr>
        <w:t xml:space="preserve">▪  Phase 6: Talent &amp; Curriculum Evolution: </w:t>
      </w:r>
      <w:r>
        <w:rPr>
          <w:rFonts w:ascii="Arial" w:hAnsi="Arial"/>
          <w:color w:val="1F2937"/>
          <w:sz w:val="20"/>
        </w:rPr>
        <w:t>Universities revise course modules based on empirical telemetry; future student cohorts enter the market with cutting-edge, industry-ready capabilities.</w:t>
      </w:r>
    </w:p>
    <w:p>
      <w:pPr>
        <w:keepNext/>
        <w:spacing w:before="360" w:after="120"/>
      </w:pPr>
      <w:r>
        <w:rPr>
          <w:rFonts w:ascii="Arial" w:hAnsi="Arial"/>
          <w:b/>
          <w:color w:val="1A365D"/>
          <w:sz w:val="32"/>
        </w:rPr>
        <w:t>8. SIH Web Application &amp; UI/UX Design Specifications</w:t>
      </w:r>
    </w:p>
    <w:p>
      <w:pPr>
        <w:spacing w:before="0" w:after="120" w:line="276" w:lineRule="auto"/>
      </w:pPr>
      <w:r>
        <w:rPr>
          <w:rFonts w:ascii="Arial" w:hAnsi="Arial"/>
          <w:color w:val="1F2937"/>
          <w:sz w:val="21"/>
        </w:rPr>
        <w:t>To fulfill the SIH evaluation criteria, the UNIBRIDGE web application is architected with modern, accessible design standards for responsive cross-device deployment:</w:t>
      </w:r>
    </w:p>
    <w:p>
      <w:pPr>
        <w:keepNext/>
        <w:spacing w:before="280" w:after="80"/>
      </w:pPr>
      <w:r>
        <w:rPr>
          <w:rFonts w:ascii="Arial" w:hAnsi="Arial"/>
          <w:b/>
          <w:color w:val="0D9488"/>
          <w:sz w:val="25"/>
        </w:rPr>
        <w:t>8.1 Dual Theme Accessibility &amp; Visual Palette</w:t>
      </w:r>
    </w:p>
    <w:p>
      <w:pPr>
        <w:spacing w:before="20" w:after="60" w:line="276" w:lineRule="auto"/>
        <w:ind w:left="360"/>
      </w:pPr>
      <w:r>
        <w:rPr>
          <w:rFonts w:ascii="Arial" w:hAnsi="Arial"/>
          <w:b/>
          <w:color w:val="1A365D"/>
          <w:sz w:val="20"/>
        </w:rPr>
        <w:t xml:space="preserve">▪  Light Mode (Soft Pastel Architecture): </w:t>
      </w:r>
      <w:r>
        <w:rPr>
          <w:rFonts w:ascii="Arial" w:hAnsi="Arial"/>
          <w:color w:val="1F2937"/>
          <w:sz w:val="20"/>
        </w:rPr>
        <w:t>Clean off-white background (#F8FAFC) paired with soft slate-blue surfaces (#EDF2F7), muted teal accents (#0D9488), and deep charcoal typography (#1E293B). Eliminates glare, ensures AAA WCAG accessibility for older faculty, and offers high legibility.</w:t>
      </w:r>
    </w:p>
    <w:p>
      <w:pPr>
        <w:spacing w:before="20" w:after="60" w:line="276" w:lineRule="auto"/>
        <w:ind w:left="360"/>
      </w:pPr>
      <w:r>
        <w:rPr>
          <w:rFonts w:ascii="Arial" w:hAnsi="Arial"/>
          <w:b/>
          <w:color w:val="1A365D"/>
          <w:sz w:val="20"/>
        </w:rPr>
        <w:t xml:space="preserve">▪  Dark Mode (Warm Charcoal &amp; Amber Glow): </w:t>
      </w:r>
      <w:r>
        <w:rPr>
          <w:rFonts w:ascii="Arial" w:hAnsi="Arial"/>
          <w:color w:val="1F2937"/>
          <w:sz w:val="20"/>
        </w:rPr>
        <w:t>Deep warm charcoal canvas (#121417) paired with slate-gray card containers (#1E232B), warm amber primary accents (#F59E0B), and crisp off-white text (#F1F5F9). Avoids harsh blue OLED strain, ideal for late-night student coding and lab monitoring.</w:t>
      </w:r>
    </w:p>
    <w:p>
      <w:pPr>
        <w:spacing w:before="20" w:after="60" w:line="276" w:lineRule="auto"/>
        <w:ind w:left="360"/>
      </w:pPr>
      <w:r>
        <w:rPr>
          <w:rFonts w:ascii="Arial" w:hAnsi="Arial"/>
          <w:b/>
          <w:color w:val="1A365D"/>
          <w:sz w:val="20"/>
        </w:rPr>
        <w:t xml:space="preserve">▪  Universal Generational Accessibility: </w:t>
      </w:r>
      <w:r>
        <w:rPr>
          <w:rFonts w:ascii="Arial" w:hAnsi="Arial"/>
          <w:color w:val="1F2937"/>
          <w:sz w:val="20"/>
        </w:rPr>
        <w:t>High contrast ratios (exceeding 4.5:1), responsive scalable font units (16px base body), screen-reader ARIA tags, and large tap targets (minimum 48x48px) ensuring effortless navigation for both senior academic deans and undergraduate students.</w:t>
      </w:r>
    </w:p>
    <w:p>
      <w:pPr>
        <w:keepNext/>
        <w:spacing w:before="280" w:after="80"/>
      </w:pPr>
      <w:r>
        <w:rPr>
          <w:rFonts w:ascii="Arial" w:hAnsi="Arial"/>
          <w:b/>
          <w:color w:val="0D9488"/>
          <w:sz w:val="25"/>
        </w:rPr>
        <w:t>8.2 Header, Navigation &amp; Core Layout</w:t>
      </w:r>
    </w:p>
    <w:p>
      <w:pPr>
        <w:spacing w:before="20" w:after="60" w:line="276" w:lineRule="auto"/>
        <w:ind w:left="360"/>
      </w:pPr>
      <w:r>
        <w:rPr>
          <w:rFonts w:ascii="Arial" w:hAnsi="Arial"/>
          <w:b/>
          <w:color w:val="1A365D"/>
          <w:sz w:val="20"/>
        </w:rPr>
        <w:t xml:space="preserve">▪  Left-Aligned Branding: </w:t>
      </w:r>
      <w:r>
        <w:rPr>
          <w:rFonts w:ascii="Arial" w:hAnsi="Arial"/>
          <w:color w:val="1F2937"/>
          <w:sz w:val="20"/>
        </w:rPr>
        <w:t>Clean typographical brand mark 'UniBridge' (No cumbersome standalone icons), emphasizing institutional credibility and streamlined utility.</w:t>
      </w:r>
    </w:p>
    <w:p>
      <w:pPr>
        <w:spacing w:before="20" w:after="60" w:line="276" w:lineRule="auto"/>
        <w:ind w:left="360"/>
      </w:pPr>
      <w:r>
        <w:rPr>
          <w:rFonts w:ascii="Arial" w:hAnsi="Arial"/>
          <w:b/>
          <w:color w:val="1A365D"/>
          <w:sz w:val="20"/>
        </w:rPr>
        <w:t xml:space="preserve">▪  Right-Aligned Utility Bar: </w:t>
      </w:r>
      <w:r>
        <w:rPr>
          <w:rFonts w:ascii="Arial" w:hAnsi="Arial"/>
          <w:color w:val="1F2937"/>
          <w:sz w:val="20"/>
        </w:rPr>
        <w:t>Seamless Toggle for Light/Dark Mode, Quick Search Bar, and distinct 'Log In' &amp; 'Sign Up' action portals supporting multi-role onboarding (Student, Faculty, Industry Partner, University Admin).</w:t>
      </w:r>
    </w:p>
    <w:p>
      <w:pPr>
        <w:spacing w:before="20" w:after="60" w:line="276" w:lineRule="auto"/>
        <w:ind w:left="360"/>
      </w:pPr>
      <w:r>
        <w:rPr>
          <w:rFonts w:ascii="Arial" w:hAnsi="Arial"/>
          <w:b/>
          <w:color w:val="1A365D"/>
          <w:sz w:val="20"/>
        </w:rPr>
        <w:t xml:space="preserve">▪  Interactive Accordion / Dropdown Components: </w:t>
      </w:r>
      <w:r>
        <w:rPr>
          <w:rFonts w:ascii="Arial" w:hAnsi="Arial"/>
          <w:color w:val="1F2937"/>
          <w:sz w:val="20"/>
        </w:rPr>
        <w:t>The landing page features interactive collapsible modules detailing 'How Does This Benefit a Student?' and 'What Makes This Different from a Normal Internship Website?', enabling immediate executive comprehension.</w:t>
      </w:r>
    </w:p>
    <w:p>
      <w:pPr>
        <w:keepNext/>
        <w:spacing w:before="360" w:after="120"/>
      </w:pPr>
      <w:r>
        <w:rPr>
          <w:rFonts w:ascii="Arial" w:hAnsi="Arial"/>
          <w:b/>
          <w:color w:val="1A365D"/>
          <w:sz w:val="32"/>
        </w:rPr>
        <w:t>9. Proposed Technical Architecture &amp; SIH Prototype Roadmap</w:t>
      </w:r>
    </w:p>
    <w:p>
      <w:pPr>
        <w:spacing w:before="0" w:after="120" w:line="276" w:lineRule="auto"/>
      </w:pPr>
      <w:r>
        <w:rPr>
          <w:rFonts w:ascii="Arial" w:hAnsi="Arial"/>
          <w:color w:val="1F2937"/>
          <w:sz w:val="21"/>
        </w:rPr>
        <w:t>As the development team transitions from conceptual design to live prototyping during the hackathon, the following technical architecture and execution roadmap are proposed:</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1A365D"/>
            <w:tcMar>
              <w:top w:w="100" w:type="dxa"/>
              <w:bottom w:w="100" w:type="dxa"/>
              <w:left w:w="120" w:type="dxa"/>
              <w:right w:w="120" w:type="dxa"/>
            </w:tcMar>
          </w:tcPr>
          <w:p>
            <w:r>
              <w:rPr>
                <w:rFonts w:ascii="Arial" w:hAnsi="Arial"/>
                <w:b/>
                <w:color w:val="FFFFFF"/>
                <w:sz w:val="20"/>
              </w:rPr>
              <w:t>Layer / Subsystem</w:t>
            </w:r>
          </w:p>
        </w:tc>
        <w:tc>
          <w:tcPr>
            <w:tcW w:type="dxa" w:w="3120"/>
            <w:shd w:fill="1A365D"/>
            <w:tcMar>
              <w:top w:w="100" w:type="dxa"/>
              <w:bottom w:w="100" w:type="dxa"/>
              <w:left w:w="120" w:type="dxa"/>
              <w:right w:w="120" w:type="dxa"/>
            </w:tcMar>
          </w:tcPr>
          <w:p>
            <w:r>
              <w:rPr>
                <w:rFonts w:ascii="Arial" w:hAnsi="Arial"/>
                <w:b/>
                <w:color w:val="FFFFFF"/>
                <w:sz w:val="20"/>
              </w:rPr>
              <w:t>Recommended Tech Stack</w:t>
            </w:r>
          </w:p>
        </w:tc>
        <w:tc>
          <w:tcPr>
            <w:tcW w:type="dxa" w:w="3120"/>
            <w:shd w:fill="1A365D"/>
            <w:tcMar>
              <w:top w:w="100" w:type="dxa"/>
              <w:bottom w:w="100" w:type="dxa"/>
              <w:left w:w="120" w:type="dxa"/>
              <w:right w:w="120" w:type="dxa"/>
            </w:tcMar>
          </w:tcPr>
          <w:p>
            <w:r>
              <w:rPr>
                <w:rFonts w:ascii="Arial" w:hAnsi="Arial"/>
                <w:b/>
                <w:color w:val="FFFFFF"/>
                <w:sz w:val="20"/>
              </w:rPr>
              <w:t>Key Functional Responsibilities</w:t>
            </w:r>
          </w:p>
        </w:tc>
      </w:tr>
      <w:tr>
        <w:tc>
          <w:tcPr>
            <w:tcW w:type="dxa" w:w="3120"/>
            <w:shd w:fill="F8FAFC"/>
            <w:tcMar>
              <w:top w:w="80" w:type="dxa"/>
              <w:bottom w:w="80" w:type="dxa"/>
              <w:left w:w="100" w:type="dxa"/>
              <w:right w:w="100" w:type="dxa"/>
            </w:tcMar>
          </w:tcPr>
          <w:p>
            <w:r>
              <w:rPr>
                <w:rFonts w:ascii="Arial" w:hAnsi="Arial"/>
                <w:b/>
                <w:color w:val="1A365D"/>
                <w:sz w:val="18"/>
              </w:rPr>
              <w:t>Frontend Web Application</w:t>
            </w:r>
          </w:p>
        </w:tc>
        <w:tc>
          <w:tcPr>
            <w:tcW w:type="dxa" w:w="3120"/>
            <w:shd w:fill="F8FAFC"/>
            <w:tcMar>
              <w:top w:w="80" w:type="dxa"/>
              <w:bottom w:w="80" w:type="dxa"/>
              <w:left w:w="100" w:type="dxa"/>
              <w:right w:w="100" w:type="dxa"/>
            </w:tcMar>
          </w:tcPr>
          <w:p>
            <w:r>
              <w:rPr>
                <w:rFonts w:ascii="Arial" w:hAnsi="Arial"/>
                <w:color w:val="0D9488"/>
                <w:sz w:val="18"/>
              </w:rPr>
              <w:t>Next.js 14 (React), Tailwind CSS, Lucide Icons, Shadcn UI</w:t>
            </w:r>
          </w:p>
        </w:tc>
        <w:tc>
          <w:tcPr>
            <w:tcW w:type="dxa" w:w="3120"/>
            <w:shd w:fill="F8FAFC"/>
            <w:tcMar>
              <w:top w:w="80" w:type="dxa"/>
              <w:bottom w:w="80" w:type="dxa"/>
              <w:left w:w="100" w:type="dxa"/>
              <w:right w:w="100" w:type="dxa"/>
            </w:tcMar>
          </w:tcPr>
          <w:p>
            <w:r>
              <w:rPr>
                <w:rFonts w:ascii="Arial" w:hAnsi="Arial"/>
                <w:color w:val="1F2937"/>
                <w:sz w:val="18"/>
              </w:rPr>
              <w:t>Responsive, accessible UI/UX with zero-lag light/dark mode theming and role-based views.</w:t>
            </w:r>
          </w:p>
        </w:tc>
      </w:tr>
      <w:tr>
        <w:tc>
          <w:tcPr>
            <w:tcW w:type="dxa" w:w="3120"/>
            <w:shd w:fill="FFFFFF"/>
            <w:tcMar>
              <w:top w:w="80" w:type="dxa"/>
              <w:bottom w:w="80" w:type="dxa"/>
              <w:left w:w="100" w:type="dxa"/>
              <w:right w:w="100" w:type="dxa"/>
            </w:tcMar>
          </w:tcPr>
          <w:p>
            <w:r>
              <w:rPr>
                <w:rFonts w:ascii="Arial" w:hAnsi="Arial"/>
                <w:b/>
                <w:color w:val="1A365D"/>
                <w:sz w:val="18"/>
              </w:rPr>
              <w:t>Backend &amp; API Layer</w:t>
            </w:r>
          </w:p>
        </w:tc>
        <w:tc>
          <w:tcPr>
            <w:tcW w:type="dxa" w:w="3120"/>
            <w:shd w:fill="FFFFFF"/>
            <w:tcMar>
              <w:top w:w="80" w:type="dxa"/>
              <w:bottom w:w="80" w:type="dxa"/>
              <w:left w:w="100" w:type="dxa"/>
              <w:right w:w="100" w:type="dxa"/>
            </w:tcMar>
          </w:tcPr>
          <w:p>
            <w:r>
              <w:rPr>
                <w:rFonts w:ascii="Arial" w:hAnsi="Arial"/>
                <w:color w:val="0D9488"/>
                <w:sz w:val="18"/>
              </w:rPr>
              <w:t>Node.js (Express/NestJS) or Python FastAPI</w:t>
            </w:r>
          </w:p>
        </w:tc>
        <w:tc>
          <w:tcPr>
            <w:tcW w:type="dxa" w:w="3120"/>
            <w:shd w:fill="FFFFFF"/>
            <w:tcMar>
              <w:top w:w="80" w:type="dxa"/>
              <w:bottom w:w="80" w:type="dxa"/>
              <w:left w:w="100" w:type="dxa"/>
              <w:right w:w="100" w:type="dxa"/>
            </w:tcMar>
          </w:tcPr>
          <w:p>
            <w:r>
              <w:rPr>
                <w:rFonts w:ascii="Arial" w:hAnsi="Arial"/>
                <w:color w:val="1F2937"/>
                <w:sz w:val="18"/>
              </w:rPr>
              <w:t>RESTful &amp; GraphQL endpoints for problem submission, user role management, and sprint tracking.</w:t>
            </w:r>
          </w:p>
        </w:tc>
      </w:tr>
      <w:tr>
        <w:tc>
          <w:tcPr>
            <w:tcW w:type="dxa" w:w="3120"/>
            <w:shd w:fill="F8FAFC"/>
            <w:tcMar>
              <w:top w:w="80" w:type="dxa"/>
              <w:bottom w:w="80" w:type="dxa"/>
              <w:left w:w="100" w:type="dxa"/>
              <w:right w:w="100" w:type="dxa"/>
            </w:tcMar>
          </w:tcPr>
          <w:p>
            <w:r>
              <w:rPr>
                <w:rFonts w:ascii="Arial" w:hAnsi="Arial"/>
                <w:b/>
                <w:color w:val="1A365D"/>
                <w:sz w:val="18"/>
              </w:rPr>
              <w:t>Database &amp; Search Engine</w:t>
            </w:r>
          </w:p>
        </w:tc>
        <w:tc>
          <w:tcPr>
            <w:tcW w:type="dxa" w:w="3120"/>
            <w:shd w:fill="F8FAFC"/>
            <w:tcMar>
              <w:top w:w="80" w:type="dxa"/>
              <w:bottom w:w="80" w:type="dxa"/>
              <w:left w:w="100" w:type="dxa"/>
              <w:right w:w="100" w:type="dxa"/>
            </w:tcMar>
          </w:tcPr>
          <w:p>
            <w:r>
              <w:rPr>
                <w:rFonts w:ascii="Arial" w:hAnsi="Arial"/>
                <w:color w:val="0D9488"/>
                <w:sz w:val="18"/>
              </w:rPr>
              <w:t>PostgreSQL (Prisma ORM) + MeiliSearch / Elasticsearch</w:t>
            </w:r>
          </w:p>
        </w:tc>
        <w:tc>
          <w:tcPr>
            <w:tcW w:type="dxa" w:w="3120"/>
            <w:shd w:fill="F8FAFC"/>
            <w:tcMar>
              <w:top w:w="80" w:type="dxa"/>
              <w:bottom w:w="80" w:type="dxa"/>
              <w:left w:w="100" w:type="dxa"/>
              <w:right w:w="100" w:type="dxa"/>
            </w:tcMar>
          </w:tcPr>
          <w:p>
            <w:r>
              <w:rPr>
                <w:rFonts w:ascii="Arial" w:hAnsi="Arial"/>
                <w:color w:val="1F2937"/>
                <w:sz w:val="18"/>
              </w:rPr>
              <w:t>Relational mapping of courses, credits, and submissions. Blazing fast fuzzy matching for industry problems.</w:t>
            </w:r>
          </w:p>
        </w:tc>
      </w:tr>
      <w:tr>
        <w:tc>
          <w:tcPr>
            <w:tcW w:type="dxa" w:w="3120"/>
            <w:shd w:fill="FFFFFF"/>
            <w:tcMar>
              <w:top w:w="80" w:type="dxa"/>
              <w:bottom w:w="80" w:type="dxa"/>
              <w:left w:w="100" w:type="dxa"/>
              <w:right w:w="100" w:type="dxa"/>
            </w:tcMar>
          </w:tcPr>
          <w:p>
            <w:r>
              <w:rPr>
                <w:rFonts w:ascii="Arial" w:hAnsi="Arial"/>
                <w:b/>
                <w:color w:val="1A365D"/>
                <w:sz w:val="18"/>
              </w:rPr>
              <w:t>Matching &amp; Telemetry AI</w:t>
            </w:r>
          </w:p>
        </w:tc>
        <w:tc>
          <w:tcPr>
            <w:tcW w:type="dxa" w:w="3120"/>
            <w:shd w:fill="FFFFFF"/>
            <w:tcMar>
              <w:top w:w="80" w:type="dxa"/>
              <w:bottom w:w="80" w:type="dxa"/>
              <w:left w:w="100" w:type="dxa"/>
              <w:right w:w="100" w:type="dxa"/>
            </w:tcMar>
          </w:tcPr>
          <w:p>
            <w:r>
              <w:rPr>
                <w:rFonts w:ascii="Arial" w:hAnsi="Arial"/>
                <w:color w:val="0D9488"/>
                <w:sz w:val="18"/>
              </w:rPr>
              <w:t>Python (Scikit-Learn / Sentence-Transformers)</w:t>
            </w:r>
          </w:p>
        </w:tc>
        <w:tc>
          <w:tcPr>
            <w:tcW w:type="dxa" w:w="3120"/>
            <w:shd w:fill="FFFFFF"/>
            <w:tcMar>
              <w:top w:w="80" w:type="dxa"/>
              <w:bottom w:w="80" w:type="dxa"/>
              <w:left w:w="100" w:type="dxa"/>
              <w:right w:w="100" w:type="dxa"/>
            </w:tcMar>
          </w:tcPr>
          <w:p>
            <w:r>
              <w:rPr>
                <w:rFonts w:ascii="Arial" w:hAnsi="Arial"/>
                <w:color w:val="1F2937"/>
                <w:sz w:val="18"/>
              </w:rPr>
              <w:t>Semantic vector embedding matching industry requirements to course syllabi and faculty research tags.</w:t>
            </w:r>
          </w:p>
        </w:tc>
      </w:tr>
      <w:tr>
        <w:tc>
          <w:tcPr>
            <w:tcW w:type="dxa" w:w="3120"/>
            <w:shd w:fill="F8FAFC"/>
            <w:tcMar>
              <w:top w:w="80" w:type="dxa"/>
              <w:bottom w:w="80" w:type="dxa"/>
              <w:left w:w="100" w:type="dxa"/>
              <w:right w:w="100" w:type="dxa"/>
            </w:tcMar>
          </w:tcPr>
          <w:p>
            <w:r>
              <w:rPr>
                <w:rFonts w:ascii="Arial" w:hAnsi="Arial"/>
                <w:b/>
                <w:color w:val="1A365D"/>
                <w:sz w:val="18"/>
              </w:rPr>
              <w:t>Verification &amp; Security</w:t>
            </w:r>
          </w:p>
        </w:tc>
        <w:tc>
          <w:tcPr>
            <w:tcW w:type="dxa" w:w="3120"/>
            <w:shd w:fill="F8FAFC"/>
            <w:tcMar>
              <w:top w:w="80" w:type="dxa"/>
              <w:bottom w:w="80" w:type="dxa"/>
              <w:left w:w="100" w:type="dxa"/>
              <w:right w:w="100" w:type="dxa"/>
            </w:tcMar>
          </w:tcPr>
          <w:p>
            <w:r>
              <w:rPr>
                <w:rFonts w:ascii="Arial" w:hAnsi="Arial"/>
                <w:color w:val="0D9488"/>
                <w:sz w:val="18"/>
              </w:rPr>
              <w:t>JWT Authentication, OAuth2 (LinkedIn / Google / Digilocker), AWS S3</w:t>
            </w:r>
          </w:p>
        </w:tc>
        <w:tc>
          <w:tcPr>
            <w:tcW w:type="dxa" w:w="3120"/>
            <w:shd w:fill="F8FAFC"/>
            <w:tcMar>
              <w:top w:w="80" w:type="dxa"/>
              <w:bottom w:w="80" w:type="dxa"/>
              <w:left w:w="100" w:type="dxa"/>
              <w:right w:w="100" w:type="dxa"/>
            </w:tcMar>
          </w:tcPr>
          <w:p>
            <w:r>
              <w:rPr>
                <w:rFonts w:ascii="Arial" w:hAnsi="Arial"/>
                <w:color w:val="1F2937"/>
                <w:sz w:val="18"/>
              </w:rPr>
              <w:t>Role-based access control, secure student portfolio hosting, and verified institutional certificates.</w:t>
            </w:r>
          </w:p>
        </w:tc>
      </w:tr>
    </w:tbl>
    <w:p>
      <w:pPr>
        <w:keepNext/>
        <w:spacing w:before="280" w:after="80"/>
      </w:pPr>
      <w:r>
        <w:rPr>
          <w:rFonts w:ascii="Arial" w:hAnsi="Arial"/>
          <w:b/>
          <w:color w:val="0D9488"/>
          <w:sz w:val="25"/>
        </w:rPr>
        <w:t>9.1 Hackathon Phased Implementation Plan</w:t>
      </w:r>
    </w:p>
    <w:p>
      <w:pPr>
        <w:spacing w:before="20" w:after="60" w:line="276" w:lineRule="auto"/>
        <w:ind w:left="360"/>
      </w:pPr>
      <w:r>
        <w:rPr>
          <w:rFonts w:ascii="Arial" w:hAnsi="Arial"/>
          <w:b/>
          <w:color w:val="1A365D"/>
          <w:sz w:val="20"/>
        </w:rPr>
        <w:t xml:space="preserve">▪  Phase 1 (Hours 0–12): </w:t>
      </w:r>
      <w:r>
        <w:rPr>
          <w:rFonts w:ascii="Arial" w:hAnsi="Arial"/>
          <w:color w:val="1F2937"/>
          <w:sz w:val="20"/>
        </w:rPr>
        <w:t>Database schema finalization, Next.js frontend scaffolding with responsive pastel light/warm dark theming, role-based authentication flows.</w:t>
      </w:r>
    </w:p>
    <w:p>
      <w:pPr>
        <w:spacing w:before="20" w:after="60" w:line="276" w:lineRule="auto"/>
        <w:ind w:left="360"/>
      </w:pPr>
      <w:r>
        <w:rPr>
          <w:rFonts w:ascii="Arial" w:hAnsi="Arial"/>
          <w:b/>
          <w:color w:val="1A365D"/>
          <w:sz w:val="20"/>
        </w:rPr>
        <w:t xml:space="preserve">▪  Phase 2 (Hours 12–24): </w:t>
      </w:r>
      <w:r>
        <w:rPr>
          <w:rFonts w:ascii="Arial" w:hAnsi="Arial"/>
          <w:color w:val="1F2937"/>
          <w:sz w:val="20"/>
        </w:rPr>
        <w:t>Industry Problem Repository CRUD interface, multi-attribute tagging system, and student/faculty matching algorithm implementation.</w:t>
      </w:r>
    </w:p>
    <w:p>
      <w:pPr>
        <w:spacing w:before="20" w:after="60" w:line="276" w:lineRule="auto"/>
        <w:ind w:left="360"/>
      </w:pPr>
      <w:r>
        <w:rPr>
          <w:rFonts w:ascii="Arial" w:hAnsi="Arial"/>
          <w:b/>
          <w:color w:val="1A365D"/>
          <w:sz w:val="20"/>
        </w:rPr>
        <w:t xml:space="preserve">▪  Phase 3 (Hours 24–32): </w:t>
      </w:r>
      <w:r>
        <w:rPr>
          <w:rFonts w:ascii="Arial" w:hAnsi="Arial"/>
          <w:color w:val="1F2937"/>
          <w:sz w:val="20"/>
        </w:rPr>
        <w:t>Evaluation &amp; rubric scoring dashboard for industry mentors, digital portfolio generator, and curriculum telemetry analytics mockup.</w:t>
      </w:r>
    </w:p>
    <w:p>
      <w:pPr>
        <w:spacing w:before="20" w:after="60" w:line="276" w:lineRule="auto"/>
        <w:ind w:left="360"/>
      </w:pPr>
      <w:r>
        <w:rPr>
          <w:rFonts w:ascii="Arial" w:hAnsi="Arial"/>
          <w:b/>
          <w:color w:val="1A365D"/>
          <w:sz w:val="20"/>
        </w:rPr>
        <w:t xml:space="preserve">▪  Phase 4 (Hours 32–36): </w:t>
      </w:r>
      <w:r>
        <w:rPr>
          <w:rFonts w:ascii="Arial" w:hAnsi="Arial"/>
          <w:color w:val="1F2937"/>
          <w:sz w:val="20"/>
        </w:rPr>
        <w:t>End-to-end integration testing, polish UI accessibility, pitch deck refinement, and interactive live demo rehearsals.</w:t>
      </w:r>
    </w:p>
    <w:p>
      <w:pPr>
        <w:keepNext/>
        <w:spacing w:before="360" w:after="120"/>
      </w:pPr>
      <w:r>
        <w:rPr>
          <w:rFonts w:ascii="Arial" w:hAnsi="Arial"/>
          <w:b/>
          <w:color w:val="1A365D"/>
          <w:sz w:val="32"/>
        </w:rPr>
        <w:t>10. System Sustainability &amp; Long-Term Impact</w:t>
      </w:r>
    </w:p>
    <w:p>
      <w:pPr>
        <w:spacing w:before="0" w:after="120" w:line="276" w:lineRule="auto"/>
      </w:pPr>
      <w:r>
        <w:rPr>
          <w:rFonts w:ascii="Arial" w:hAnsi="Arial"/>
          <w:color w:val="1F2937"/>
          <w:sz w:val="21"/>
        </w:rPr>
        <w:t>UNIBRIDGE is structured to be financially and administratively viable well beyond the hackathon stage:</w:t>
      </w:r>
    </w:p>
    <w:p>
      <w:pPr>
        <w:spacing w:before="20" w:after="60" w:line="276" w:lineRule="auto"/>
        <w:ind w:left="360"/>
      </w:pPr>
      <w:r>
        <w:rPr>
          <w:rFonts w:ascii="Arial" w:hAnsi="Arial"/>
          <w:b/>
          <w:color w:val="1A365D"/>
          <w:sz w:val="20"/>
        </w:rPr>
        <w:t xml:space="preserve">▪  Financial Viability: </w:t>
      </w:r>
      <w:r>
        <w:rPr>
          <w:rFonts w:ascii="Arial" w:hAnsi="Arial"/>
          <w:color w:val="1F2937"/>
          <w:sz w:val="20"/>
        </w:rPr>
        <w:t>Funded via corporate CSR technology grants, sponsored research problem fees from large enterprises, subscription tiers for premium recruitment telemetry, and university incubation allocations.</w:t>
      </w:r>
    </w:p>
    <w:p>
      <w:pPr>
        <w:spacing w:before="20" w:after="60" w:line="276" w:lineRule="auto"/>
        <w:ind w:left="360"/>
      </w:pPr>
      <w:r>
        <w:rPr>
          <w:rFonts w:ascii="Arial" w:hAnsi="Arial"/>
          <w:b/>
          <w:color w:val="1A365D"/>
          <w:sz w:val="20"/>
        </w:rPr>
        <w:t xml:space="preserve">▪  Administrative Viability: </w:t>
      </w:r>
      <w:r>
        <w:rPr>
          <w:rFonts w:ascii="Arial" w:hAnsi="Arial"/>
          <w:color w:val="1F2937"/>
          <w:sz w:val="20"/>
        </w:rPr>
        <w:t>Embedded within existing institutional bodies (University Industry Relations Cells and Corporate University Relations Cells), preventing administrative bloat and ensuring standardized academic credit compliance.</w:t>
      </w:r>
    </w:p>
    <w:p>
      <w:pPr>
        <w:spacing w:before="20" w:after="60" w:line="276" w:lineRule="auto"/>
        <w:ind w:left="360"/>
      </w:pPr>
      <w:r>
        <w:rPr>
          <w:rFonts w:ascii="Arial" w:hAnsi="Arial"/>
          <w:b/>
          <w:color w:val="1A365D"/>
          <w:sz w:val="20"/>
        </w:rPr>
        <w:t xml:space="preserve">▪  Macro Economic Impact: </w:t>
      </w:r>
      <w:r>
        <w:rPr>
          <w:rFonts w:ascii="Arial" w:hAnsi="Arial"/>
          <w:color w:val="1F2937"/>
          <w:sz w:val="20"/>
        </w:rPr>
        <w:t>Directly elevates the commercialization rate of Indian academic research, empowers local MSMEs with cost-effective R&amp;D bandwidth, and eliminates the multi-month corporate retraining cycle for graduating engineers.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