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4" w:lineRule="auto"/>
        <w:jc w:val="center"/>
      </w:pPr>
      <w:r>
        <w:rPr>
          <w:b/>
          <w:i w:val="0"/>
          <w:color w:val="444A54"/>
          <w:sz w:val="17"/>
        </w:rPr>
        <w:t>RÉPUBLIQUE DE DJIBOUTI</w:t>
      </w:r>
    </w:p>
    <w:p>
      <w:pPr>
        <w:spacing w:before="0" w:after="240" w:line="254" w:lineRule="auto"/>
        <w:jc w:val="center"/>
      </w:pPr>
      <w:r>
        <w:rPr>
          <w:b w:val="0"/>
          <w:i/>
          <w:color w:val="444A54"/>
          <w:sz w:val="16"/>
        </w:rPr>
        <w:t>Unité — Égalité — Paix</w:t>
      </w:r>
    </w:p>
    <w:p>
      <w:pPr>
        <w:spacing w:after="40"/>
        <w:jc w:val="center"/>
      </w:pPr>
      <w:r>
        <w:rPr>
          <w:b/>
          <w:color w:val="1B3A6B"/>
          <w:sz w:val="34"/>
        </w:rPr>
        <w:t>D.A.S. — DJIBOUTI ADDRESS SYSTEM</w:t>
      </w:r>
    </w:p>
    <w:p>
      <w:pPr>
        <w:spacing w:before="0" w:after="80" w:line="254" w:lineRule="auto"/>
        <w:jc w:val="center"/>
      </w:pPr>
      <w:r>
        <w:rPr>
          <w:b w:val="0"/>
          <w:i/>
          <w:color w:val="444A54"/>
          <w:sz w:val="21"/>
        </w:rPr>
        <w:t>Système national d’adressage — Note de présentation et état d’avancement</w:t>
      </w:r>
    </w:p>
    <w:p>
      <w:pPr>
        <w:spacing w:before="0" w:after="200" w:line="254" w:lineRule="auto"/>
        <w:jc w:val="center"/>
        <w:pBdr>
          <w:bottom w:val="single" w:sz="8" w:space="4" w:color="1B3A6B"/>
        </w:pBdr>
      </w:pPr>
      <w:r>
        <w:rPr>
          <w:b w:val="0"/>
          <w:i w:val="0"/>
          <w:color w:val="444A54"/>
          <w:sz w:val="17"/>
        </w:rPr>
        <w:t>Septembre 2026</w:t>
      </w:r>
    </w:p>
    <w:p>
      <w:pPr>
        <w:spacing w:before="0" w:after="80" w:line="254" w:lineRule="auto"/>
        <w:jc w:val="both"/>
      </w:pPr>
      <w:r>
        <w:rPr>
          <w:b w:val="0"/>
          <w:i w:val="0"/>
          <w:sz w:val="21"/>
        </w:rPr>
        <w:t>Une nation se reconnaît aussi à sa capacité de nommer son territoire. Donner à chaque foyer, à chaque parcelle et à chaque activité du pays une adresse officielle, unique et vérifiée, c’est inscrire le citoyen sur la carte de la République. Le D.A.S. n’est pas un outil informatique de plus : c’est une infrastructure nationale souveraine, au même titre qu’une route ou qu’un registre d’état civil — et elle est aujourd’hui en fonctionnement.</w:t>
      </w:r>
    </w:p>
    <w:p>
      <w:pPr>
        <w:spacing w:before="220" w:after="80"/>
      </w:pPr>
      <w:r>
        <w:rPr>
          <w:b/>
          <w:color w:val="0E7A33"/>
          <w:sz w:val="22"/>
        </w:rPr>
        <w:t xml:space="preserve">1.  </w:t>
      </w:r>
      <w:r>
        <w:rPr>
          <w:b/>
          <w:color w:val="1B3A6B"/>
          <w:sz w:val="22"/>
        </w:rPr>
        <w:t>CE QUE FAIT LE D.A.S.</w:t>
      </w:r>
    </w:p>
    <w:p>
      <w:pPr>
        <w:spacing w:before="0" w:after="80" w:line="254" w:lineRule="auto"/>
        <w:jc w:val="both"/>
      </w:pPr>
      <w:r>
        <w:rPr>
          <w:b w:val="0"/>
          <w:i w:val="0"/>
          <w:sz w:val="21"/>
        </w:rPr>
        <w:t>Le D.A.S. construit et tient à jour le référentiel unique des adresses du pays. Il repose sur trois principes qui en font une donnée d’État, et non une simple base de données.</w:t>
      </w:r>
    </w:p>
    <w:p>
      <w:pPr>
        <w:spacing w:after="60" w:line="250" w:lineRule="auto"/>
        <w:ind w:left="283"/>
        <w:jc w:val="both"/>
      </w:pPr>
      <w:r>
        <w:rPr>
          <w:b/>
          <w:color w:val="0E7A33"/>
          <w:sz w:val="21"/>
        </w:rPr>
        <w:t xml:space="preserve">▪  </w:t>
      </w:r>
      <w:r>
        <w:rPr>
          <w:b/>
          <w:color w:val="1B3A6B"/>
          <w:sz w:val="21"/>
        </w:rPr>
        <w:t xml:space="preserve">Une seule hiérarchie nationale — </w:t>
      </w:r>
      <w:r>
        <w:rPr>
          <w:sz w:val="21"/>
        </w:rPr>
        <w:t>Ville, commune, zone, quartier, îlot, adresse. Chaque échelon est défini une fois pour toutes et porte sa géographie réelle. Le pays cesse d’être décrit différemment selon l’administration qui le regarde.</w:t>
      </w:r>
    </w:p>
    <w:p>
      <w:pPr>
        <w:spacing w:after="60" w:line="250" w:lineRule="auto"/>
        <w:ind w:left="283"/>
        <w:jc w:val="both"/>
      </w:pPr>
      <w:r>
        <w:rPr>
          <w:b/>
          <w:color w:val="0E7A33"/>
          <w:sz w:val="21"/>
        </w:rPr>
        <w:t xml:space="preserve">▪  </w:t>
      </w:r>
      <w:r>
        <w:rPr>
          <w:b/>
          <w:color w:val="1B3A6B"/>
          <w:sz w:val="21"/>
        </w:rPr>
        <w:t xml:space="preserve">Des codes calculés, jamais improvisés — </w:t>
      </w:r>
      <w:r>
        <w:rPr>
          <w:sz w:val="21"/>
        </w:rPr>
        <w:t>Le code postal et le code d’adresse sont produits par le système à partir du plan national de numérotation. Ils ne sont ni saisis à la main, ni négociables : c’est ce qui les rend opposables.</w:t>
      </w:r>
    </w:p>
    <w:p>
      <w:pPr>
        <w:spacing w:after="60" w:line="250" w:lineRule="auto"/>
        <w:ind w:left="283"/>
        <w:jc w:val="both"/>
      </w:pPr>
      <w:r>
        <w:rPr>
          <w:b/>
          <w:color w:val="0E7A33"/>
          <w:sz w:val="21"/>
        </w:rPr>
        <w:t xml:space="preserve">▪  </w:t>
      </w:r>
      <w:r>
        <w:rPr>
          <w:b/>
          <w:color w:val="1B3A6B"/>
          <w:sz w:val="21"/>
        </w:rPr>
        <w:t xml:space="preserve">Une chaîne de confiance, du terrain à la publication — </w:t>
      </w:r>
      <w:r>
        <w:rPr>
          <w:sz w:val="21"/>
        </w:rPr>
        <w:t>Une adresse est enregistrée, relevée sur le terrain avec photos et position GPS, vérifiée par un superviseur, approuvée, puis publiée. Aucune adresse ne devient officielle sans avoir franchi ces cinq étapes, et chaque décision garde le nom de celui qui l’a prise.</w:t>
      </w:r>
    </w:p>
    <w:p>
      <w:pPr>
        <w:spacing w:before="220" w:after="80"/>
      </w:pPr>
      <w:r>
        <w:rPr>
          <w:b/>
          <w:color w:val="0E7A33"/>
          <w:sz w:val="22"/>
        </w:rPr>
        <w:t xml:space="preserve">2.  </w:t>
      </w:r>
      <w:r>
        <w:rPr>
          <w:b/>
          <w:color w:val="1B3A6B"/>
          <w:sz w:val="22"/>
        </w:rPr>
        <w:t>CE QUI EST DÉJÀ RÉALISÉ</w:t>
      </w:r>
    </w:p>
    <w:p>
      <w:pPr>
        <w:spacing w:before="0" w:after="80" w:line="254" w:lineRule="auto"/>
        <w:jc w:val="both"/>
      </w:pPr>
      <w:r>
        <w:rPr>
          <w:b w:val="0"/>
          <w:i w:val="0"/>
          <w:sz w:val="21"/>
        </w:rPr>
        <w:t>La plateforme nationale d’administration est opérationnelle. Elle donne à l’État la vue et la main sur l’ensemble du dispositif, du bureau jusqu’au terrain.</w:t>
      </w:r>
    </w:p>
    <w:p>
      <w:pPr>
        <w:spacing w:after="60" w:line="250" w:lineRule="auto"/>
        <w:ind w:left="283"/>
        <w:jc w:val="both"/>
      </w:pPr>
      <w:r>
        <w:rPr>
          <w:b/>
          <w:color w:val="0E7A33"/>
          <w:sz w:val="21"/>
        </w:rPr>
        <w:t xml:space="preserve">▪  </w:t>
      </w:r>
      <w:r>
        <w:rPr>
          <w:b/>
          <w:color w:val="1B3A6B"/>
          <w:sz w:val="21"/>
        </w:rPr>
        <w:t xml:space="preserve">Le poste de pilotage national — </w:t>
      </w:r>
      <w:r>
        <w:rPr>
          <w:sz w:val="21"/>
        </w:rPr>
        <w:t>Tableau de bord cartographique de l’avancement, référentiel des adresses, gestion des quartiers, des îlots et de la voirie, plan de codes postaux, rapports, administration des agents et de leurs droits. Seize domaines fonctionnels sont en service, en français et en anglais.</w:t>
      </w:r>
    </w:p>
    <w:p>
      <w:pPr>
        <w:spacing w:after="60" w:line="250" w:lineRule="auto"/>
        <w:ind w:left="283"/>
        <w:jc w:val="both"/>
      </w:pPr>
      <w:r>
        <w:rPr>
          <w:b/>
          <w:color w:val="0E7A33"/>
          <w:sz w:val="21"/>
        </w:rPr>
        <w:t xml:space="preserve">▪  </w:t>
      </w:r>
      <w:r>
        <w:rPr>
          <w:b/>
          <w:color w:val="1B3A6B"/>
          <w:sz w:val="21"/>
        </w:rPr>
        <w:t xml:space="preserve">Le socle géographique du pays — </w:t>
      </w:r>
      <w:r>
        <w:rPr>
          <w:sz w:val="21"/>
        </w:rPr>
        <w:t>Les 84 quartiers de Djibouti-ville sont référencés, 76 disposent désormais de leur emprise cartographique exacte, répartis en 9 zones administratives ; 2 224 îlots sont rattachés à leur quartier, et la reprise du référentiel de voirie est engagée.</w:t>
      </w:r>
    </w:p>
    <w:p>
      <w:pPr>
        <w:spacing w:after="60" w:line="250" w:lineRule="auto"/>
        <w:ind w:left="283"/>
        <w:jc w:val="both"/>
      </w:pPr>
      <w:r>
        <w:rPr>
          <w:b/>
          <w:color w:val="0E7A33"/>
          <w:sz w:val="21"/>
        </w:rPr>
        <w:t xml:space="preserve">▪  </w:t>
      </w:r>
      <w:r>
        <w:rPr>
          <w:b/>
          <w:color w:val="1B3A6B"/>
          <w:sz w:val="21"/>
        </w:rPr>
        <w:t xml:space="preserve">Le plan national de numérotation — </w:t>
      </w:r>
      <w:r>
        <w:rPr>
          <w:sz w:val="21"/>
        </w:rPr>
        <w:t>58 quartiers de la capitale ont reçu leur numéro officiel, dont découle automatiquement leur code postal. Les cas relevant d’un arbitrage de territoire ont été isolés et documentés plutôt que tranchés en silence.</w:t>
      </w:r>
    </w:p>
    <w:p>
      <w:pPr>
        <w:spacing w:after="60" w:line="250" w:lineRule="auto"/>
        <w:ind w:left="283"/>
        <w:jc w:val="both"/>
      </w:pPr>
      <w:r>
        <w:rPr>
          <w:b/>
          <w:color w:val="0E7A33"/>
          <w:sz w:val="21"/>
        </w:rPr>
        <w:t xml:space="preserve">▪  </w:t>
      </w:r>
      <w:r>
        <w:rPr>
          <w:b/>
          <w:color w:val="1B3A6B"/>
          <w:sz w:val="21"/>
        </w:rPr>
        <w:t xml:space="preserve">La conduite des campagnes de terrain — </w:t>
      </w:r>
      <w:r>
        <w:rPr>
          <w:sz w:val="21"/>
        </w:rPr>
        <w:t>Les superviseurs délimitent une campagne directement sur la carte, affectent les îlots aux agents et suivent les échéances comme l’avancement en temps réel. Le travail des équipes de terrain remonte en continu dans le système.</w:t>
      </w:r>
    </w:p>
    <w:p>
      <w:pPr>
        <w:spacing w:after="60" w:line="250" w:lineRule="auto"/>
        <w:ind w:left="283"/>
        <w:jc w:val="both"/>
      </w:pPr>
      <w:r>
        <w:rPr>
          <w:b/>
          <w:color w:val="0E7A33"/>
          <w:sz w:val="21"/>
        </w:rPr>
        <w:t xml:space="preserve">▪  </w:t>
      </w:r>
      <w:r>
        <w:rPr>
          <w:b/>
          <w:color w:val="1B3A6B"/>
          <w:sz w:val="21"/>
        </w:rPr>
        <w:t xml:space="preserve">Le contrôle qualité et l’intégrité de la donnée — </w:t>
      </w:r>
      <w:r>
        <w:rPr>
          <w:sz w:val="21"/>
        </w:rPr>
        <w:t>Chaque relevé arrive identifié : l’adresse, l’agent, l’heure, les photos et l’écart entre la parcelle et le point capturé. Un dispositif de détection d’anomalies signale les relevés douteux, tout rejet est motivé et notifié à l’agent, et nul ne peut statuer sur son propre travail.</w:t>
      </w:r>
    </w:p>
    <w:p>
      <w:pPr>
        <w:spacing w:after="60" w:line="250" w:lineRule="auto"/>
        <w:ind w:left="283"/>
        <w:jc w:val="both"/>
      </w:pPr>
      <w:r>
        <w:rPr>
          <w:b/>
          <w:color w:val="0E7A33"/>
          <w:sz w:val="21"/>
        </w:rPr>
        <w:t xml:space="preserve">▪  </w:t>
      </w:r>
      <w:r>
        <w:rPr>
          <w:b/>
          <w:color w:val="1B3A6B"/>
          <w:sz w:val="21"/>
        </w:rPr>
        <w:t xml:space="preserve">La maîtrise souveraine de l’outil — </w:t>
      </w:r>
      <w:r>
        <w:rPr>
          <w:sz w:val="21"/>
        </w:rPr>
        <w:t>Cartographie, données et hébergement sont servis par l’infrastructure du programme, sans dépendance à un fournisseur de cartes étranger. La donnée d’adressage de Djibouti reste à Djibouti.</w:t>
      </w:r>
    </w:p>
    <w:p>
      <w:pPr>
        <w:spacing w:before="220" w:after="80"/>
      </w:pPr>
      <w:r>
        <w:rPr>
          <w:b/>
          <w:color w:val="0E7A33"/>
          <w:sz w:val="22"/>
        </w:rPr>
        <w:t xml:space="preserve">3.  </w:t>
      </w:r>
      <w:r>
        <w:rPr>
          <w:b/>
          <w:color w:val="1B3A6B"/>
          <w:sz w:val="22"/>
        </w:rPr>
        <w:t>CE QUE CELA OUVRE</w:t>
      </w:r>
    </w:p>
    <w:p>
      <w:pPr>
        <w:spacing w:before="0" w:after="80" w:line="254" w:lineRule="auto"/>
        <w:jc w:val="both"/>
      </w:pPr>
      <w:r>
        <w:rPr>
          <w:b w:val="0"/>
          <w:i w:val="0"/>
          <w:sz w:val="21"/>
        </w:rPr>
        <w:t>Une adresse n’est pas une ligne dans un fichier : c’est une clé d’accès. Le référentiel national devient le point commun de toutes les politiques publiques qui ont besoin de savoir où.</w:t>
      </w:r>
    </w:p>
    <w:p>
      <w:pPr>
        <w:spacing w:after="60" w:line="250" w:lineRule="auto"/>
        <w:ind w:left="283"/>
        <w:jc w:val="both"/>
      </w:pPr>
      <w:r>
        <w:rPr>
          <w:b/>
          <w:color w:val="0E7A33"/>
          <w:sz w:val="21"/>
        </w:rPr>
        <w:t xml:space="preserve">▪  </w:t>
      </w:r>
      <w:r>
        <w:rPr>
          <w:b/>
          <w:color w:val="1B3A6B"/>
          <w:sz w:val="21"/>
        </w:rPr>
        <w:t xml:space="preserve">Secours et sécurité — </w:t>
      </w:r>
      <w:r>
        <w:rPr>
          <w:sz w:val="21"/>
        </w:rPr>
        <w:t>Un véhicule d’urgence guidé jusqu’à la bonne porte, et non jusqu’au bon quartier.</w:t>
      </w:r>
    </w:p>
    <w:p>
      <w:pPr>
        <w:spacing w:after="60" w:line="250" w:lineRule="auto"/>
        <w:ind w:left="283"/>
        <w:jc w:val="both"/>
      </w:pPr>
      <w:r>
        <w:rPr>
          <w:b/>
          <w:color w:val="0E7A33"/>
          <w:sz w:val="21"/>
        </w:rPr>
        <w:t xml:space="preserve">▪  </w:t>
      </w:r>
      <w:r>
        <w:rPr>
          <w:b/>
          <w:color w:val="1B3A6B"/>
          <w:sz w:val="21"/>
        </w:rPr>
        <w:t xml:space="preserve">Services essentiels et réseaux — </w:t>
      </w:r>
      <w:r>
        <w:rPr>
          <w:sz w:val="21"/>
        </w:rPr>
        <w:t>Eau, électricité, courrier et distribution raccordés à une référence commune plutôt qu’à des descriptions verbales.</w:t>
      </w:r>
    </w:p>
    <w:p>
      <w:pPr>
        <w:spacing w:after="60" w:line="250" w:lineRule="auto"/>
        <w:ind w:left="283"/>
        <w:jc w:val="both"/>
      </w:pPr>
      <w:r>
        <w:rPr>
          <w:b/>
          <w:color w:val="0E7A33"/>
          <w:sz w:val="21"/>
        </w:rPr>
        <w:t xml:space="preserve">▪  </w:t>
      </w:r>
      <w:r>
        <w:rPr>
          <w:b/>
          <w:color w:val="1B3A6B"/>
          <w:sz w:val="21"/>
        </w:rPr>
        <w:t xml:space="preserve">Planification et équité territoriale — </w:t>
      </w:r>
      <w:r>
        <w:rPr>
          <w:sz w:val="21"/>
        </w:rPr>
        <w:t>Recensement, urbanisme et action locale appuyés sur une image fidèle du bâti, quartier par quartier.</w:t>
      </w:r>
    </w:p>
    <w:p>
      <w:pPr>
        <w:spacing w:after="60" w:line="250" w:lineRule="auto"/>
        <w:ind w:left="283"/>
        <w:jc w:val="both"/>
      </w:pPr>
      <w:r>
        <w:rPr>
          <w:b/>
          <w:color w:val="0E7A33"/>
          <w:sz w:val="21"/>
        </w:rPr>
        <w:t xml:space="preserve">▪  </w:t>
      </w:r>
      <w:r>
        <w:rPr>
          <w:b/>
          <w:color w:val="1B3A6B"/>
          <w:sz w:val="21"/>
        </w:rPr>
        <w:t xml:space="preserve">Inclusion des citoyens — </w:t>
      </w:r>
      <w:r>
        <w:rPr>
          <w:sz w:val="21"/>
        </w:rPr>
        <w:t>Là où l’adresse manque, l’accès manque aussi. La généraliser, c’est rendre visibles des familles que l’administration ne savait pas atteindre.</w:t>
      </w:r>
    </w:p>
    <w:p>
      <w:pPr>
        <w:spacing w:before="200" w:after="0"/>
        <w:jc w:val="both"/>
        <w:pBdr>
          <w:bottom w:val="single" w:sz="6" w:space="4" w:color="C7CCD3"/>
        </w:pBdr>
      </w:pPr>
      <w:r>
        <w:rPr>
          <w:b/>
          <w:color w:val="1B3A6B"/>
          <w:sz w:val="21"/>
        </w:rPr>
        <w:t>Le chantier se poursuit : achèvement du nommage de la voirie, arbitrage des derniers rattachements de quartiers, puis extension progressive aux régions de l’intérieur. Les fondations, elles, sont posées et elles tiennent : Djibouti dispose désormais d’une plateforme nationale capable de recenser, contrôler et publier l’adresse de chacun de ses citoyens. C’est une souveraineté de plus, discrète mais décisive, que le pays acquiert sur la connaissance de son propre territoire.</w:t>
      </w:r>
    </w:p>
    <w:sectPr w:rsidR="00FC693F" w:rsidRPr="0006063C" w:rsidSect="00034616">
      <w:pgSz w:w="12240" w:h="15840"/>
      <w:pgMar w:top="1077" w:right="1247"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