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0B2" w:rsidRPr="00CB2433" w:rsidRDefault="00CE7F67">
      <w:pPr>
        <w:rPr>
          <w:rFonts w:ascii="Times New Roman" w:hAnsi="Times New Roman" w:cs="Times New Roman"/>
          <w:sz w:val="24"/>
        </w:rPr>
      </w:pPr>
      <w:r w:rsidRPr="00CB2433">
        <w:rPr>
          <w:rFonts w:ascii="Times New Roman" w:hAnsi="Times New Roman" w:cs="Times New Roman"/>
          <w:sz w:val="24"/>
        </w:rPr>
        <w:t xml:space="preserve">Data </w:t>
      </w:r>
      <w:r w:rsidR="00F129B3" w:rsidRPr="00CB2433">
        <w:rPr>
          <w:rFonts w:ascii="Times New Roman" w:hAnsi="Times New Roman" w:cs="Times New Roman"/>
          <w:sz w:val="24"/>
        </w:rPr>
        <w:t xml:space="preserve">dictionary: </w:t>
      </w:r>
      <w:r w:rsidR="001F61B6">
        <w:rPr>
          <w:rFonts w:ascii="Times New Roman" w:hAnsi="Times New Roman" w:cs="Times New Roman"/>
          <w:sz w:val="24"/>
        </w:rPr>
        <w:t>H</w:t>
      </w:r>
      <w:r w:rsidR="00A83DDE">
        <w:rPr>
          <w:rFonts w:ascii="Times New Roman" w:hAnsi="Times New Roman" w:cs="Times New Roman"/>
          <w:sz w:val="24"/>
        </w:rPr>
        <w:t xml:space="preserve">igher Education </w:t>
      </w:r>
      <w:r w:rsidR="002F4748">
        <w:rPr>
          <w:rFonts w:ascii="Times New Roman" w:hAnsi="Times New Roman" w:cs="Times New Roman"/>
          <w:sz w:val="24"/>
        </w:rPr>
        <w:t xml:space="preserve">Sector </w:t>
      </w:r>
      <w:bookmarkStart w:id="0" w:name="_GoBack"/>
      <w:bookmarkEnd w:id="0"/>
      <w:r w:rsidR="00A83DDE">
        <w:rPr>
          <w:rFonts w:ascii="Times New Roman" w:hAnsi="Times New Roman" w:cs="Times New Roman"/>
          <w:sz w:val="24"/>
        </w:rPr>
        <w:t xml:space="preserve">University Quality </w:t>
      </w:r>
      <w:r w:rsidR="004E5C1E">
        <w:rPr>
          <w:rFonts w:ascii="Times New Roman" w:hAnsi="Times New Roman" w:cs="Times New Roman"/>
          <w:sz w:val="24"/>
        </w:rPr>
        <w:t xml:space="preserve">Ranking </w:t>
      </w:r>
      <w:r w:rsidR="001F61B6">
        <w:rPr>
          <w:rFonts w:ascii="Times New Roman" w:hAnsi="Times New Roman" w:cs="Times New Roman"/>
          <w:sz w:val="24"/>
        </w:rPr>
        <w:t xml:space="preserve">Statistics 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168"/>
        <w:gridCol w:w="1260"/>
        <w:gridCol w:w="5310"/>
      </w:tblGrid>
      <w:tr w:rsidR="00385D08" w:rsidTr="00385D08">
        <w:tc>
          <w:tcPr>
            <w:tcW w:w="3168" w:type="dxa"/>
            <w:vAlign w:val="center"/>
          </w:tcPr>
          <w:p w:rsidR="00385D08" w:rsidRPr="001354DF" w:rsidRDefault="00385D08" w:rsidP="0073029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4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1260" w:type="dxa"/>
            <w:vAlign w:val="center"/>
          </w:tcPr>
          <w:p w:rsidR="00385D08" w:rsidRPr="001354DF" w:rsidRDefault="00385D08" w:rsidP="00C764F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4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5310" w:type="dxa"/>
            <w:vAlign w:val="center"/>
          </w:tcPr>
          <w:p w:rsidR="00385D08" w:rsidRPr="001354DF" w:rsidRDefault="00385D08" w:rsidP="007302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54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764F2" w:rsidTr="00385D08">
        <w:tc>
          <w:tcPr>
            <w:tcW w:w="3168" w:type="dxa"/>
          </w:tcPr>
          <w:p w:rsidR="00C764F2" w:rsidRPr="0030018C" w:rsidRDefault="00C764F2" w:rsidP="00F557A5">
            <w:r w:rsidRPr="0030018C">
              <w:t>Institution Name</w:t>
            </w:r>
          </w:p>
        </w:tc>
        <w:tc>
          <w:tcPr>
            <w:tcW w:w="1260" w:type="dxa"/>
          </w:tcPr>
          <w:p w:rsidR="00C764F2" w:rsidRPr="0030018C" w:rsidRDefault="00C764F2" w:rsidP="00F557A5">
            <w:r w:rsidRPr="0030018C">
              <w:t>string</w:t>
            </w:r>
          </w:p>
        </w:tc>
        <w:tc>
          <w:tcPr>
            <w:tcW w:w="5310" w:type="dxa"/>
          </w:tcPr>
          <w:p w:rsidR="00C764F2" w:rsidRPr="0030018C" w:rsidRDefault="00C764F2" w:rsidP="00F557A5">
            <w:r w:rsidRPr="0030018C">
              <w:t>The name of the educational institution (e.g., Harvard University, Stanford University).</w:t>
            </w:r>
          </w:p>
        </w:tc>
      </w:tr>
      <w:tr w:rsidR="00C764F2" w:rsidTr="00385D08">
        <w:tc>
          <w:tcPr>
            <w:tcW w:w="3168" w:type="dxa"/>
          </w:tcPr>
          <w:p w:rsidR="00C764F2" w:rsidRDefault="00C764F2" w:rsidP="00F557A5">
            <w:r w:rsidRPr="0030018C">
              <w:t>Institution Type</w:t>
            </w:r>
          </w:p>
          <w:p w:rsidR="00C764F2" w:rsidRPr="0030018C" w:rsidRDefault="00C764F2" w:rsidP="00F557A5"/>
        </w:tc>
        <w:tc>
          <w:tcPr>
            <w:tcW w:w="1260" w:type="dxa"/>
          </w:tcPr>
          <w:p w:rsidR="00C764F2" w:rsidRPr="0030018C" w:rsidRDefault="00C764F2" w:rsidP="00F557A5">
            <w:r w:rsidRPr="0030018C">
              <w:t>string</w:t>
            </w:r>
          </w:p>
        </w:tc>
        <w:tc>
          <w:tcPr>
            <w:tcW w:w="5310" w:type="dxa"/>
          </w:tcPr>
          <w:p w:rsidR="00C764F2" w:rsidRPr="0030018C" w:rsidRDefault="00C764F2" w:rsidP="00F557A5">
            <w:r w:rsidRPr="0030018C">
              <w:t>Specifies whether the institution is Public or Private.</w:t>
            </w:r>
          </w:p>
        </w:tc>
      </w:tr>
      <w:tr w:rsidR="00C764F2" w:rsidTr="00385D08">
        <w:tc>
          <w:tcPr>
            <w:tcW w:w="3168" w:type="dxa"/>
          </w:tcPr>
          <w:p w:rsidR="00C764F2" w:rsidRPr="0030018C" w:rsidRDefault="00C764F2" w:rsidP="00F557A5">
            <w:r w:rsidRPr="0030018C">
              <w:t>Student Enrollment</w:t>
            </w:r>
          </w:p>
        </w:tc>
        <w:tc>
          <w:tcPr>
            <w:tcW w:w="1260" w:type="dxa"/>
          </w:tcPr>
          <w:p w:rsidR="00C764F2" w:rsidRPr="0030018C" w:rsidRDefault="00C764F2" w:rsidP="00F557A5">
            <w:proofErr w:type="spellStart"/>
            <w:r w:rsidRPr="0030018C">
              <w:t>int</w:t>
            </w:r>
            <w:proofErr w:type="spellEnd"/>
          </w:p>
        </w:tc>
        <w:tc>
          <w:tcPr>
            <w:tcW w:w="5310" w:type="dxa"/>
          </w:tcPr>
          <w:p w:rsidR="00C764F2" w:rsidRPr="0030018C" w:rsidRDefault="00C764F2" w:rsidP="00F557A5">
            <w:r w:rsidRPr="0030018C">
              <w:t>The total number of enrolled students, ranging between 2,000 and 50,000.</w:t>
            </w:r>
          </w:p>
        </w:tc>
      </w:tr>
      <w:tr w:rsidR="00C764F2" w:rsidTr="00385D08">
        <w:tc>
          <w:tcPr>
            <w:tcW w:w="3168" w:type="dxa"/>
          </w:tcPr>
          <w:p w:rsidR="00C764F2" w:rsidRPr="0030018C" w:rsidRDefault="00C764F2" w:rsidP="00F557A5">
            <w:r w:rsidRPr="0030018C">
              <w:t>Faculty Salary (Avg.)</w:t>
            </w:r>
          </w:p>
        </w:tc>
        <w:tc>
          <w:tcPr>
            <w:tcW w:w="1260" w:type="dxa"/>
          </w:tcPr>
          <w:p w:rsidR="00C764F2" w:rsidRPr="0030018C" w:rsidRDefault="00C764F2" w:rsidP="00F557A5">
            <w:proofErr w:type="spellStart"/>
            <w:r w:rsidRPr="0030018C">
              <w:t>int</w:t>
            </w:r>
            <w:proofErr w:type="spellEnd"/>
          </w:p>
        </w:tc>
        <w:tc>
          <w:tcPr>
            <w:tcW w:w="5310" w:type="dxa"/>
          </w:tcPr>
          <w:p w:rsidR="00C764F2" w:rsidRPr="0030018C" w:rsidRDefault="00C764F2" w:rsidP="00F557A5">
            <w:r w:rsidRPr="0030018C">
              <w:t>The average faculty salary in USD, ranging between $60,000 and $250,000.</w:t>
            </w:r>
          </w:p>
        </w:tc>
      </w:tr>
      <w:tr w:rsidR="00C764F2" w:rsidTr="00385D08">
        <w:tc>
          <w:tcPr>
            <w:tcW w:w="3168" w:type="dxa"/>
          </w:tcPr>
          <w:p w:rsidR="00C764F2" w:rsidRPr="0030018C" w:rsidRDefault="00C764F2" w:rsidP="00F557A5">
            <w:r w:rsidRPr="0030018C">
              <w:t>Research Funding (Million USD)</w:t>
            </w:r>
          </w:p>
        </w:tc>
        <w:tc>
          <w:tcPr>
            <w:tcW w:w="1260" w:type="dxa"/>
          </w:tcPr>
          <w:p w:rsidR="00C764F2" w:rsidRPr="0030018C" w:rsidRDefault="00C764F2" w:rsidP="00F557A5">
            <w:r w:rsidRPr="0030018C">
              <w:t>float</w:t>
            </w:r>
          </w:p>
        </w:tc>
        <w:tc>
          <w:tcPr>
            <w:tcW w:w="5310" w:type="dxa"/>
          </w:tcPr>
          <w:p w:rsidR="00C764F2" w:rsidRPr="0030018C" w:rsidRDefault="00C764F2" w:rsidP="00F557A5">
            <w:r w:rsidRPr="0030018C">
              <w:t>The institution's research funding in millions of USD, ranging from $10M to $500M.</w:t>
            </w:r>
          </w:p>
        </w:tc>
      </w:tr>
      <w:tr w:rsidR="00C764F2" w:rsidTr="00385D08">
        <w:tc>
          <w:tcPr>
            <w:tcW w:w="3168" w:type="dxa"/>
          </w:tcPr>
          <w:p w:rsidR="00C764F2" w:rsidRPr="0030018C" w:rsidRDefault="00C764F2" w:rsidP="00F557A5">
            <w:r w:rsidRPr="0030018C">
              <w:t>Graduation Rate (%)</w:t>
            </w:r>
          </w:p>
        </w:tc>
        <w:tc>
          <w:tcPr>
            <w:tcW w:w="1260" w:type="dxa"/>
          </w:tcPr>
          <w:p w:rsidR="00C764F2" w:rsidRPr="0030018C" w:rsidRDefault="00C764F2" w:rsidP="00F557A5">
            <w:r w:rsidRPr="0030018C">
              <w:t>float</w:t>
            </w:r>
          </w:p>
        </w:tc>
        <w:tc>
          <w:tcPr>
            <w:tcW w:w="5310" w:type="dxa"/>
          </w:tcPr>
          <w:p w:rsidR="00C764F2" w:rsidRPr="0030018C" w:rsidRDefault="00C764F2" w:rsidP="00F557A5">
            <w:r w:rsidRPr="0030018C">
              <w:t>The percentage of students who graduate successfully, ranging between 60% and 100%.</w:t>
            </w:r>
          </w:p>
        </w:tc>
      </w:tr>
      <w:tr w:rsidR="00C764F2" w:rsidTr="00385D08">
        <w:trPr>
          <w:trHeight w:val="444"/>
        </w:trPr>
        <w:tc>
          <w:tcPr>
            <w:tcW w:w="3168" w:type="dxa"/>
          </w:tcPr>
          <w:p w:rsidR="00C764F2" w:rsidRPr="0030018C" w:rsidRDefault="00C764F2" w:rsidP="00F557A5">
            <w:r w:rsidRPr="0030018C">
              <w:t>Student-Faculty Ratio</w:t>
            </w:r>
          </w:p>
        </w:tc>
        <w:tc>
          <w:tcPr>
            <w:tcW w:w="1260" w:type="dxa"/>
          </w:tcPr>
          <w:p w:rsidR="00C764F2" w:rsidRPr="0030018C" w:rsidRDefault="00C764F2" w:rsidP="00F557A5">
            <w:r w:rsidRPr="0030018C">
              <w:t>float</w:t>
            </w:r>
          </w:p>
        </w:tc>
        <w:tc>
          <w:tcPr>
            <w:tcW w:w="5310" w:type="dxa"/>
          </w:tcPr>
          <w:p w:rsidR="00C764F2" w:rsidRPr="0030018C" w:rsidRDefault="00C764F2" w:rsidP="00F557A5">
            <w:r w:rsidRPr="0030018C">
              <w:t>The ratio of students to faculty members, ranging from 5 to 30.</w:t>
            </w:r>
          </w:p>
        </w:tc>
      </w:tr>
      <w:tr w:rsidR="00C764F2" w:rsidTr="00385D08">
        <w:trPr>
          <w:trHeight w:val="444"/>
        </w:trPr>
        <w:tc>
          <w:tcPr>
            <w:tcW w:w="3168" w:type="dxa"/>
          </w:tcPr>
          <w:p w:rsidR="00C764F2" w:rsidRPr="0030018C" w:rsidRDefault="00C764F2" w:rsidP="00F557A5">
            <w:r w:rsidRPr="0030018C">
              <w:t>Tuition Fees (USD)</w:t>
            </w:r>
          </w:p>
        </w:tc>
        <w:tc>
          <w:tcPr>
            <w:tcW w:w="1260" w:type="dxa"/>
          </w:tcPr>
          <w:p w:rsidR="00C764F2" w:rsidRPr="0030018C" w:rsidRDefault="00C764F2" w:rsidP="00F557A5">
            <w:proofErr w:type="spellStart"/>
            <w:r w:rsidRPr="0030018C">
              <w:t>int</w:t>
            </w:r>
            <w:proofErr w:type="spellEnd"/>
          </w:p>
        </w:tc>
        <w:tc>
          <w:tcPr>
            <w:tcW w:w="5310" w:type="dxa"/>
          </w:tcPr>
          <w:p w:rsidR="00C764F2" w:rsidRPr="0030018C" w:rsidRDefault="00C764F2" w:rsidP="00F557A5">
            <w:r w:rsidRPr="0030018C">
              <w:t>Annual tuition fees in USD. For Private institutions, this ranges between $30,000 and $60,000; for Public institutions, between $10,000 and $30,000.</w:t>
            </w:r>
          </w:p>
        </w:tc>
      </w:tr>
      <w:tr w:rsidR="00C764F2" w:rsidTr="00385D08">
        <w:trPr>
          <w:trHeight w:val="444"/>
        </w:trPr>
        <w:tc>
          <w:tcPr>
            <w:tcW w:w="3168" w:type="dxa"/>
          </w:tcPr>
          <w:p w:rsidR="00C764F2" w:rsidRPr="0030018C" w:rsidRDefault="00C764F2" w:rsidP="00F557A5">
            <w:r w:rsidRPr="0030018C">
              <w:t>Employment Rate (%)</w:t>
            </w:r>
          </w:p>
        </w:tc>
        <w:tc>
          <w:tcPr>
            <w:tcW w:w="1260" w:type="dxa"/>
          </w:tcPr>
          <w:p w:rsidR="00C764F2" w:rsidRPr="0030018C" w:rsidRDefault="00C764F2" w:rsidP="00F557A5">
            <w:r w:rsidRPr="0030018C">
              <w:t>float</w:t>
            </w:r>
          </w:p>
        </w:tc>
        <w:tc>
          <w:tcPr>
            <w:tcW w:w="5310" w:type="dxa"/>
          </w:tcPr>
          <w:p w:rsidR="00C764F2" w:rsidRPr="0030018C" w:rsidRDefault="00C764F2" w:rsidP="00F557A5">
            <w:r w:rsidRPr="0030018C">
              <w:t>The percentage of graduates employed after completion, ranging between 60% and 100%.</w:t>
            </w:r>
          </w:p>
        </w:tc>
      </w:tr>
      <w:tr w:rsidR="00C764F2" w:rsidTr="00385D08">
        <w:trPr>
          <w:trHeight w:val="444"/>
        </w:trPr>
        <w:tc>
          <w:tcPr>
            <w:tcW w:w="3168" w:type="dxa"/>
          </w:tcPr>
          <w:p w:rsidR="00C764F2" w:rsidRPr="0030018C" w:rsidRDefault="00C764F2" w:rsidP="00F557A5">
            <w:r w:rsidRPr="0030018C">
              <w:t>University Ranking Score</w:t>
            </w:r>
          </w:p>
        </w:tc>
        <w:tc>
          <w:tcPr>
            <w:tcW w:w="1260" w:type="dxa"/>
          </w:tcPr>
          <w:p w:rsidR="00C764F2" w:rsidRPr="0030018C" w:rsidRDefault="00C764F2" w:rsidP="00F557A5">
            <w:r w:rsidRPr="0030018C">
              <w:t>float</w:t>
            </w:r>
          </w:p>
        </w:tc>
        <w:tc>
          <w:tcPr>
            <w:tcW w:w="5310" w:type="dxa"/>
          </w:tcPr>
          <w:p w:rsidR="00C764F2" w:rsidRDefault="00C764F2" w:rsidP="00F557A5">
            <w:r w:rsidRPr="0030018C">
              <w:t>A calculated score representing the institution's ranking based on key metrics like graduation rate, employment rate, and research funding.</w:t>
            </w:r>
          </w:p>
        </w:tc>
      </w:tr>
    </w:tbl>
    <w:p w:rsidR="008C125C" w:rsidRDefault="008C125C">
      <w:pPr>
        <w:rPr>
          <w:sz w:val="24"/>
        </w:rPr>
      </w:pPr>
    </w:p>
    <w:p w:rsidR="00207AD5" w:rsidRDefault="00AE7920">
      <w:pPr>
        <w:rPr>
          <w:sz w:val="24"/>
        </w:rPr>
      </w:pPr>
      <w:r w:rsidRPr="00AE7920">
        <w:rPr>
          <w:b/>
          <w:sz w:val="24"/>
        </w:rPr>
        <w:t>Note:</w:t>
      </w:r>
      <w:r w:rsidR="00207AD5">
        <w:rPr>
          <w:sz w:val="24"/>
        </w:rPr>
        <w:t xml:space="preserve"> The data associated with this dataset reflects USA higher education sector. Therefore, findings should be localize</w:t>
      </w:r>
      <w:r>
        <w:rPr>
          <w:sz w:val="24"/>
        </w:rPr>
        <w:t>d</w:t>
      </w:r>
      <w:r w:rsidR="00207AD5">
        <w:rPr>
          <w:sz w:val="24"/>
        </w:rPr>
        <w:t xml:space="preserve"> to the Sri Lanka</w:t>
      </w:r>
      <w:r w:rsidR="005E1AAA">
        <w:rPr>
          <w:sz w:val="24"/>
        </w:rPr>
        <w:t xml:space="preserve"> Higher Education Sector when proposals</w:t>
      </w:r>
      <w:r w:rsidR="0004778B">
        <w:rPr>
          <w:sz w:val="24"/>
        </w:rPr>
        <w:t xml:space="preserve"> and suggestions</w:t>
      </w:r>
      <w:r w:rsidR="005E1AAA">
        <w:rPr>
          <w:sz w:val="24"/>
        </w:rPr>
        <w:t xml:space="preserve"> are made</w:t>
      </w:r>
      <w:r w:rsidR="0004778B">
        <w:rPr>
          <w:sz w:val="24"/>
        </w:rPr>
        <w:t xml:space="preserve"> while considering national economy status</w:t>
      </w:r>
      <w:r w:rsidR="005E1AAA">
        <w:rPr>
          <w:sz w:val="24"/>
        </w:rPr>
        <w:t>.</w:t>
      </w:r>
      <w:r w:rsidR="00207AD5">
        <w:rPr>
          <w:sz w:val="24"/>
        </w:rPr>
        <w:t xml:space="preserve"> </w:t>
      </w:r>
    </w:p>
    <w:p w:rsidR="00345CB4" w:rsidRPr="00CE7F67" w:rsidRDefault="00345CB4">
      <w:pPr>
        <w:rPr>
          <w:sz w:val="24"/>
        </w:rPr>
      </w:pPr>
    </w:p>
    <w:sectPr w:rsidR="00345CB4" w:rsidRPr="00CE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1834"/>
    <w:multiLevelType w:val="multilevel"/>
    <w:tmpl w:val="870A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FD43ED"/>
    <w:multiLevelType w:val="multilevel"/>
    <w:tmpl w:val="1B04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E321D6"/>
    <w:multiLevelType w:val="multilevel"/>
    <w:tmpl w:val="A8EC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593A45"/>
    <w:multiLevelType w:val="multilevel"/>
    <w:tmpl w:val="3810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D2027C2"/>
    <w:multiLevelType w:val="multilevel"/>
    <w:tmpl w:val="D884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837B81"/>
    <w:multiLevelType w:val="multilevel"/>
    <w:tmpl w:val="A830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E24301E"/>
    <w:multiLevelType w:val="multilevel"/>
    <w:tmpl w:val="3C32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5016EF4"/>
    <w:multiLevelType w:val="multilevel"/>
    <w:tmpl w:val="A518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7A827FA"/>
    <w:multiLevelType w:val="multilevel"/>
    <w:tmpl w:val="9410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B8"/>
    <w:rsid w:val="0004778B"/>
    <w:rsid w:val="000735B8"/>
    <w:rsid w:val="000E37AF"/>
    <w:rsid w:val="001C264F"/>
    <w:rsid w:val="001D686F"/>
    <w:rsid w:val="001F61B6"/>
    <w:rsid w:val="00207AD5"/>
    <w:rsid w:val="002347C3"/>
    <w:rsid w:val="002553F2"/>
    <w:rsid w:val="00276259"/>
    <w:rsid w:val="002A37DD"/>
    <w:rsid w:val="002A3EC0"/>
    <w:rsid w:val="002B569E"/>
    <w:rsid w:val="002B628F"/>
    <w:rsid w:val="002D7463"/>
    <w:rsid w:val="002F4748"/>
    <w:rsid w:val="00310218"/>
    <w:rsid w:val="00345CB4"/>
    <w:rsid w:val="00372D57"/>
    <w:rsid w:val="003839F9"/>
    <w:rsid w:val="00385D08"/>
    <w:rsid w:val="003C1A7B"/>
    <w:rsid w:val="004A0787"/>
    <w:rsid w:val="004E532F"/>
    <w:rsid w:val="004E5C1E"/>
    <w:rsid w:val="0052664D"/>
    <w:rsid w:val="00531B01"/>
    <w:rsid w:val="00545B47"/>
    <w:rsid w:val="0056270A"/>
    <w:rsid w:val="00571308"/>
    <w:rsid w:val="005757B9"/>
    <w:rsid w:val="005758B5"/>
    <w:rsid w:val="005B54E2"/>
    <w:rsid w:val="005D0D5C"/>
    <w:rsid w:val="005E1AAA"/>
    <w:rsid w:val="00630366"/>
    <w:rsid w:val="006B4E7A"/>
    <w:rsid w:val="006C55B4"/>
    <w:rsid w:val="00743438"/>
    <w:rsid w:val="00771BDB"/>
    <w:rsid w:val="00777652"/>
    <w:rsid w:val="007F3E2E"/>
    <w:rsid w:val="00835B12"/>
    <w:rsid w:val="00843161"/>
    <w:rsid w:val="00856B6B"/>
    <w:rsid w:val="00894EE8"/>
    <w:rsid w:val="008A4368"/>
    <w:rsid w:val="008C125C"/>
    <w:rsid w:val="008F1386"/>
    <w:rsid w:val="008F49CC"/>
    <w:rsid w:val="0097303A"/>
    <w:rsid w:val="00983326"/>
    <w:rsid w:val="009E41A2"/>
    <w:rsid w:val="00A15052"/>
    <w:rsid w:val="00A83DDE"/>
    <w:rsid w:val="00AC00DC"/>
    <w:rsid w:val="00AE7325"/>
    <w:rsid w:val="00AE7599"/>
    <w:rsid w:val="00AE7920"/>
    <w:rsid w:val="00B0345C"/>
    <w:rsid w:val="00B0792F"/>
    <w:rsid w:val="00B23013"/>
    <w:rsid w:val="00B46209"/>
    <w:rsid w:val="00B70C33"/>
    <w:rsid w:val="00BA2377"/>
    <w:rsid w:val="00BA530E"/>
    <w:rsid w:val="00C264E1"/>
    <w:rsid w:val="00C4185E"/>
    <w:rsid w:val="00C520FA"/>
    <w:rsid w:val="00C764F2"/>
    <w:rsid w:val="00CA3D85"/>
    <w:rsid w:val="00CA5DBE"/>
    <w:rsid w:val="00CB2433"/>
    <w:rsid w:val="00CE7F67"/>
    <w:rsid w:val="00D229F9"/>
    <w:rsid w:val="00D3126A"/>
    <w:rsid w:val="00D53729"/>
    <w:rsid w:val="00D55A9A"/>
    <w:rsid w:val="00D93D79"/>
    <w:rsid w:val="00DB6ECD"/>
    <w:rsid w:val="00DD3700"/>
    <w:rsid w:val="00DD5777"/>
    <w:rsid w:val="00E42146"/>
    <w:rsid w:val="00E64E8A"/>
    <w:rsid w:val="00EA53B0"/>
    <w:rsid w:val="00F129B3"/>
    <w:rsid w:val="00F16EFE"/>
    <w:rsid w:val="00F25BA3"/>
    <w:rsid w:val="00F778D3"/>
    <w:rsid w:val="00F93710"/>
    <w:rsid w:val="00FC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762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0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762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0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6B03F0C3-FC32-4FAA-961B-959DFAF94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75</cp:revision>
  <cp:lastPrinted>2025-03-23T12:24:00Z</cp:lastPrinted>
  <dcterms:created xsi:type="dcterms:W3CDTF">2023-12-09T18:49:00Z</dcterms:created>
  <dcterms:modified xsi:type="dcterms:W3CDTF">2025-03-23T12:24:00Z</dcterms:modified>
</cp:coreProperties>
</file>