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C574" w14:textId="77777777" w:rsidR="00386139" w:rsidRPr="00115D09" w:rsidRDefault="00CF6B4E" w:rsidP="002011C3">
      <w:pPr>
        <w:jc w:val="center"/>
        <w:rPr>
          <w:rFonts w:ascii="Aptos" w:hAnsi="Aptos"/>
          <w:b/>
          <w:bCs/>
          <w:sz w:val="28"/>
          <w:szCs w:val="28"/>
          <w:lang w:val="en-US"/>
        </w:rPr>
      </w:pPr>
      <w:r>
        <w:rPr>
          <w:rFonts w:ascii="Arial" w:hAnsi="Arial"/>
          <w:b/>
          <w:color w:val="0F172A"/>
          <w:sz w:val="28"/>
        </w:rPr>
        <w:t>CERTIFIED ASSESSMENT ASSIGNMENT 2: RESPONSIBLE AI ETHICS AUDIT</w:t>
      </w:r>
    </w:p>
    <w:p>
      <w:pPr>
        <w:spacing w:before="120" w:after="200"/>
        <w:jc w:val="left"/>
      </w:pPr>
      <w:r>
        <w:rPr>
          <w:rFonts w:ascii="Arial" w:hAnsi="Arial"/>
          <w:b/>
          <w:color w:val="1E3A8A"/>
          <w:sz w:val="19"/>
        </w:rPr>
        <w:t xml:space="preserve">Participant Name: </w:t>
      </w:r>
      <w:r>
        <w:rPr>
          <w:rFonts w:ascii="Arial" w:hAnsi="Arial"/>
          <w:b w:val="0"/>
          <w:color w:val="1E293B"/>
          <w:sz w:val="19"/>
        </w:rPr>
        <w:t xml:space="preserve">Muhammad Ashraf  |  </w:t>
      </w:r>
      <w:r>
        <w:rPr>
          <w:rFonts w:ascii="Arial" w:hAnsi="Arial"/>
          <w:b/>
          <w:color w:val="1E3A8A"/>
          <w:sz w:val="19"/>
        </w:rPr>
        <w:t xml:space="preserve">AGAIF Reference Code: </w:t>
      </w:r>
      <w:r>
        <w:rPr>
          <w:rFonts w:ascii="Arial" w:hAnsi="Arial"/>
          <w:b w:val="0"/>
          <w:color w:val="1E293B"/>
          <w:sz w:val="19"/>
        </w:rPr>
        <w:t xml:space="preserve">MY-411  |  </w:t>
      </w:r>
      <w:r>
        <w:rPr>
          <w:rFonts w:ascii="Arial" w:hAnsi="Arial"/>
          <w:b/>
          <w:color w:val="1E3A8A"/>
          <w:sz w:val="19"/>
        </w:rPr>
        <w:t xml:space="preserve">Module / Task: </w:t>
      </w:r>
      <w:r>
        <w:rPr>
          <w:rFonts w:ascii="Arial" w:hAnsi="Arial"/>
          <w:b w:val="0"/>
          <w:color w:val="1E293B"/>
          <w:sz w:val="19"/>
        </w:rPr>
        <w:t xml:space="preserve">Module 1 Session 2 – GeoAI Ethics Audit Exercise (CA2)  |  </w:t>
      </w:r>
      <w:r>
        <w:rPr>
          <w:rFonts w:ascii="Arial" w:hAnsi="Arial"/>
          <w:b/>
          <w:color w:val="1E3A8A"/>
          <w:sz w:val="19"/>
        </w:rPr>
        <w:t xml:space="preserve">Target System Evaluated: </w:t>
      </w:r>
      <w:r>
        <w:rPr>
          <w:rFonts w:ascii="Arial" w:hAnsi="Arial"/>
          <w:b w:val="0"/>
          <w:color w:val="1E293B"/>
          <w:sz w:val="19"/>
        </w:rPr>
        <w:t xml:space="preserve">AI-Based Geospatial Flood Warning System  |  </w:t>
      </w:r>
      <w:r>
        <w:rPr>
          <w:rFonts w:ascii="Arial" w:hAnsi="Arial"/>
          <w:b/>
          <w:color w:val="1E3A8A"/>
          <w:sz w:val="19"/>
        </w:rPr>
        <w:t xml:space="preserve">Assessment Date: </w:t>
      </w:r>
      <w:r>
        <w:rPr>
          <w:rFonts w:ascii="Arial" w:hAnsi="Arial"/>
          <w:b w:val="0"/>
          <w:color w:val="1E293B"/>
          <w:sz w:val="19"/>
        </w:rPr>
        <w:t>August 11, 2026</w:t>
      </w:r>
    </w:p>
    <w:p w14:paraId="44F1DF71" w14:textId="0DE73033" w:rsidR="00F92F7E" w:rsidRPr="00386139" w:rsidRDefault="00CF6B4E" w:rsidP="002011C3">
      <w:pPr>
        <w:spacing w:line="276" w:lineRule="auto" w:after="40"/>
        <w:jc w:val="center"/>
        <w:rPr>
          <w:rFonts w:ascii="Aptos" w:hAnsi="Aptos"/>
          <w:b/>
          <w:bCs/>
          <w:sz w:val="24"/>
          <w:szCs w:val="24"/>
          <w:lang w:val="en-US"/>
        </w:rPr>
      </w:pPr>
      <w:r>
        <w:rPr>
          <w:rFonts w:ascii="Arial" w:hAnsi="Arial"/>
          <w:i/>
          <w:color w:val="1E3A8A"/>
          <w:sz w:val="18"/>
        </w:rPr>
        <w:t>Evaluation of AI-Based Geospatial Flood Early Warning System</w:t>
      </w:r>
    </w:p>
    <w:p w14:paraId="6BA30904" w14:textId="77777777" w:rsidR="00CF6B4E" w:rsidRPr="00386139" w:rsidRDefault="00CF6B4E">
      <w:pPr>
        <w:rPr>
          <w:rFonts w:ascii="Aptos" w:hAnsi="Aptos"/>
          <w:lang w:val="en-US"/>
        </w:rPr>
      </w:pPr>
    </w:p>
    <w:p w14:paraId="1274E74D" w14:textId="743BF93C" w:rsidR="00CF6B4E" w:rsidRPr="00386139" w:rsidRDefault="00CF6B4E" w:rsidP="00CF6B4E">
      <w:pPr>
        <w:pStyle w:val="Heading1"/>
        <w:spacing w:before="320" w:after="40" w:line="276" w:lineRule="auto"/>
        <w:rPr>
          <w:rFonts w:ascii="Aptos" w:hAnsi="Aptos"/>
        </w:rPr>
      </w:pPr>
      <w:r w:rsidRPr="00386139">
        <w:rPr>
          <w:rFonts w:ascii="Arial" w:eastAsia="Cambria" w:hAnsi="Arial" w:cs="Cambria"/>
          <w:b/>
          <w:bCs/>
          <w:color w:val="0B6E6E"/>
          <w:sz w:val="18"/>
          <w:szCs w:val="28"/>
        </w:rPr>
        <w:t xml:space="preserve">Hands-On Activity 6 — Ethics Audit Exercise </w:t>
      </w:r>
    </w:p>
    <w:p w14:paraId="29DA29A6" w14:textId="77777777" w:rsidR="00CF6B4E" w:rsidRPr="00386139" w:rsidRDefault="00CF6B4E" w:rsidP="00CF6B4E">
      <w:pPr>
        <w:spacing w:after="40" w:line="276" w:lineRule="auto"/>
        <w:rPr>
          <w:rFonts w:ascii="Aptos" w:hAnsi="Aptos"/>
        </w:rPr>
      </w:pPr>
      <w:r w:rsidRPr="00386139">
        <w:rPr>
          <w:rFonts w:ascii="Arial" w:hAnsi="Arial"/>
          <w:b/>
          <w:bCs/>
          <w:sz w:val="18"/>
        </w:rPr>
        <w:t xml:space="preserve">Task: </w:t>
      </w:r>
      <w:r w:rsidRPr="00386139">
        <w:rPr>
          <w:rFonts w:ascii="Arial" w:hAnsi="Arial"/>
          <w:sz w:val="18"/>
        </w:rPr>
        <w:t>evaluate an AI-based flood warning system against each of the seven dimensions using the traffic-light approach:</w:t>
      </w:r>
    </w:p>
    <w:p w14:paraId="317C9362" w14:textId="77777777" w:rsidR="00CF6B4E" w:rsidRPr="00386139" w:rsidRDefault="00CF6B4E" w:rsidP="00CF6B4E">
      <w:pPr>
        <w:pStyle w:val="ListParagraph"/>
        <w:numPr>
          <w:ilvl w:val="0"/>
          <w:numId w:val="3"/>
        </w:numPr>
        <w:spacing w:after="40" w:line="276" w:lineRule="auto"/>
        <w:contextualSpacing w:val="0"/>
        <w:rPr>
          <w:rFonts w:ascii="Aptos" w:hAnsi="Aptos"/>
        </w:rPr>
      </w:pPr>
      <w:r w:rsidRPr="00020D08">
        <w:rPr>
          <w:rFonts w:ascii="Arial" w:hAnsi="Arial"/>
          <w:b/>
          <w:bCs/>
          <w:color w:val="00B050"/>
          <w:sz w:val="18"/>
        </w:rPr>
        <w:t>Green</w:t>
      </w:r>
      <w:r w:rsidRPr="00386139">
        <w:rPr>
          <w:rFonts w:ascii="Arial" w:hAnsi="Arial"/>
          <w:b/>
          <w:bCs/>
          <w:sz w:val="18"/>
        </w:rPr>
        <w:t xml:space="preserve"> </w:t>
      </w:r>
      <w:r w:rsidRPr="00386139">
        <w:rPr>
          <w:rFonts w:ascii="Arial" w:hAnsi="Arial"/>
          <w:sz w:val="18"/>
        </w:rPr>
        <w:t>= Acceptable — evidence exists that this dimension is handled.</w:t>
      </w:r>
    </w:p>
    <w:p w14:paraId="132ED46C" w14:textId="77777777" w:rsidR="00CF6B4E" w:rsidRPr="00386139" w:rsidRDefault="00CF6B4E" w:rsidP="00CF6B4E">
      <w:pPr>
        <w:pStyle w:val="ListParagraph"/>
        <w:numPr>
          <w:ilvl w:val="0"/>
          <w:numId w:val="3"/>
        </w:numPr>
        <w:spacing w:after="40" w:line="276" w:lineRule="auto"/>
        <w:contextualSpacing w:val="0"/>
        <w:rPr>
          <w:rFonts w:ascii="Aptos" w:hAnsi="Aptos"/>
        </w:rPr>
      </w:pPr>
      <w:r w:rsidRPr="00020D08">
        <w:rPr>
          <w:rFonts w:ascii="Arial" w:hAnsi="Arial"/>
          <w:b/>
          <w:bCs/>
          <w:color w:val="FFD966" w:themeColor="accent4" w:themeTint="99"/>
          <w:sz w:val="18"/>
        </w:rPr>
        <w:t xml:space="preserve">Yellow </w:t>
      </w:r>
      <w:r w:rsidRPr="00386139">
        <w:rPr>
          <w:rFonts w:ascii="Arial" w:hAnsi="Arial"/>
          <w:sz w:val="18"/>
        </w:rPr>
        <w:t>= Needs improvement — partially handled, or handled without evidence.</w:t>
      </w:r>
    </w:p>
    <w:p w14:paraId="0697E118" w14:textId="77777777" w:rsidR="00CF6B4E" w:rsidRPr="00386139" w:rsidRDefault="00CF6B4E" w:rsidP="00CF6B4E">
      <w:pPr>
        <w:pStyle w:val="ListParagraph"/>
        <w:numPr>
          <w:ilvl w:val="0"/>
          <w:numId w:val="3"/>
        </w:numPr>
        <w:spacing w:after="40" w:line="276" w:lineRule="auto"/>
        <w:contextualSpacing w:val="0"/>
        <w:rPr>
          <w:rFonts w:ascii="Aptos" w:hAnsi="Aptos"/>
        </w:rPr>
      </w:pPr>
      <w:r w:rsidRPr="00020D08">
        <w:rPr>
          <w:rFonts w:ascii="Arial" w:hAnsi="Arial"/>
          <w:b/>
          <w:bCs/>
          <w:color w:val="EE0000"/>
          <w:sz w:val="18"/>
        </w:rPr>
        <w:t xml:space="preserve">Red </w:t>
      </w:r>
      <w:r w:rsidRPr="00386139">
        <w:rPr>
          <w:rFonts w:ascii="Arial" w:hAnsi="Arial"/>
          <w:sz w:val="18"/>
        </w:rPr>
        <w:t>= High risk — unaddressed, and could cause real harm.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2241"/>
        <w:gridCol w:w="992"/>
        <w:gridCol w:w="992"/>
        <w:gridCol w:w="992"/>
        <w:gridCol w:w="3799"/>
      </w:tblGrid>
      <w:tr w:rsidR="00107A61" w:rsidRPr="00386139" w14:paraId="11962483" w14:textId="77777777" w:rsidTr="00855B67">
        <w:trPr>
          <w:tblHeader/>
          <w:tblHeader/>
          <w:cantSplit/>
        </w:trPr>
        <w:tc>
          <w:tcPr>
            <w:tcW w:w="237" w:type="pct"/>
            <w:shd w:val="clear" w:color="auto" w:fill="9CC2E5" w:themeFill="accent5" w:themeFillTint="99"/>
            <w:shd w:fill="1E3A8A"/>
            <w:tcMar>
              <w:top w:w="120" w:type="dxa"/>
              <w:bottom w:w="120" w:type="dxa"/>
              <w:left w:w="100" w:type="dxa"/>
              <w:right w:w="100" w:type="dxa"/>
            </w:tcMar>
          </w:tcPr>
          <w:p>
            <w:pPr>
              <w:jc w:val="center"/>
            </w:pPr>
            <w:r>
              <w:rPr>
                <w:rFonts w:ascii="Arial" w:hAnsi="Arial"/>
                <w:b/>
                <w:color w:val="FFFFFF"/>
                <w:sz w:val="19"/>
              </w:rPr>
              <w:t>No.</w:t>
            </w:r>
          </w:p>
        </w:tc>
        <w:tc>
          <w:tcPr>
            <w:tcW w:w="1184" w:type="pct"/>
            <w:shd w:val="clear" w:color="auto" w:fill="9CC2E5" w:themeFill="accent5" w:themeFillTint="99"/>
            <w:tcMar>
              <w:top w:w="60" w:type="dxa"/>
              <w:left w:w="100" w:type="dxa"/>
              <w:bottom w:w="60" w:type="dxa"/>
              <w:right w:w="100" w:type="dxa"/>
            </w:tcMar>
            <w:shd w:fill="1E3A8A"/>
            <w:tcMar>
              <w:top w:w="120" w:type="dxa"/>
              <w:bottom w:w="120" w:type="dxa"/>
              <w:left w:w="100" w:type="dxa"/>
              <w:right w:w="100" w:type="dxa"/>
            </w:tcMar>
          </w:tcPr>
          <w:p>
            <w:pPr>
              <w:jc w:val="center"/>
            </w:pPr>
            <w:r>
              <w:rPr>
                <w:rFonts w:ascii="Arial" w:hAnsi="Arial"/>
                <w:b/>
                <w:color w:val="FFFFFF"/>
                <w:sz w:val="19"/>
              </w:rPr>
              <w:t>Dimension</w:t>
            </w:r>
          </w:p>
        </w:tc>
        <w:tc>
          <w:tcPr>
            <w:tcW w:w="524" w:type="pct"/>
            <w:shd w:val="clear" w:color="auto" w:fill="9CC2E5" w:themeFill="accent5" w:themeFillTint="99"/>
            <w:tcMar>
              <w:top w:w="60" w:type="dxa"/>
              <w:left w:w="100" w:type="dxa"/>
              <w:bottom w:w="60" w:type="dxa"/>
              <w:right w:w="100" w:type="dxa"/>
            </w:tcMar>
            <w:shd w:fill="1E3A8A"/>
            <w:tcMar>
              <w:top w:w="120" w:type="dxa"/>
              <w:bottom w:w="120" w:type="dxa"/>
              <w:left w:w="100" w:type="dxa"/>
              <w:right w:w="100" w:type="dxa"/>
            </w:tcMar>
          </w:tcPr>
          <w:p>
            <w:pPr>
              <w:jc w:val="center"/>
            </w:pPr>
            <w:r>
              <w:rPr>
                <w:rFonts w:ascii="Arial" w:hAnsi="Arial"/>
                <w:b/>
                <w:color w:val="FFFFFF"/>
                <w:sz w:val="19"/>
              </w:rPr>
              <w:t>Green</w:t>
              <w:br/>
              <w:t>(Acceptable)</w:t>
            </w:r>
          </w:p>
        </w:tc>
        <w:tc>
          <w:tcPr>
            <w:tcW w:w="524" w:type="pct"/>
            <w:shd w:val="clear" w:color="auto" w:fill="9CC2E5" w:themeFill="accent5" w:themeFillTint="99"/>
            <w:tcMar>
              <w:top w:w="60" w:type="dxa"/>
              <w:left w:w="100" w:type="dxa"/>
              <w:bottom w:w="60" w:type="dxa"/>
              <w:right w:w="100" w:type="dxa"/>
            </w:tcMar>
            <w:shd w:fill="1E3A8A"/>
            <w:tcMar>
              <w:top w:w="120" w:type="dxa"/>
              <w:bottom w:w="120" w:type="dxa"/>
              <w:left w:w="100" w:type="dxa"/>
              <w:right w:w="100" w:type="dxa"/>
            </w:tcMar>
          </w:tcPr>
          <w:p>
            <w:pPr>
              <w:jc w:val="center"/>
            </w:pPr>
            <w:r>
              <w:rPr>
                <w:rFonts w:ascii="Arial" w:hAnsi="Arial"/>
                <w:b/>
                <w:color w:val="FFFFFF"/>
                <w:sz w:val="19"/>
              </w:rPr>
              <w:t>Yellow</w:t>
              <w:br/>
              <w:t>(Improve)</w:t>
            </w:r>
          </w:p>
        </w:tc>
        <w:tc>
          <w:tcPr>
            <w:tcW w:w="524" w:type="pct"/>
            <w:shd w:val="clear" w:color="auto" w:fill="9CC2E5" w:themeFill="accent5" w:themeFillTint="99"/>
            <w:tcMar>
              <w:top w:w="60" w:type="dxa"/>
              <w:left w:w="100" w:type="dxa"/>
              <w:bottom w:w="60" w:type="dxa"/>
              <w:right w:w="100" w:type="dxa"/>
            </w:tcMar>
            <w:shd w:fill="1E3A8A"/>
            <w:tcMar>
              <w:top w:w="120" w:type="dxa"/>
              <w:bottom w:w="120" w:type="dxa"/>
              <w:left w:w="100" w:type="dxa"/>
              <w:right w:w="100" w:type="dxa"/>
            </w:tcMar>
          </w:tcPr>
          <w:p>
            <w:pPr>
              <w:jc w:val="center"/>
            </w:pPr>
            <w:r>
              <w:rPr>
                <w:rFonts w:ascii="Arial" w:hAnsi="Arial"/>
                <w:b/>
                <w:color w:val="FFFFFF"/>
                <w:sz w:val="19"/>
              </w:rPr>
              <w:t>Red</w:t>
              <w:br/>
              <w:t>(High Risk)</w:t>
            </w:r>
          </w:p>
        </w:tc>
        <w:tc>
          <w:tcPr>
            <w:tcW w:w="2007" w:type="pct"/>
            <w:shd w:val="clear" w:color="auto" w:fill="9CC2E5" w:themeFill="accent5" w:themeFillTint="99"/>
            <w:tcMar>
              <w:top w:w="60" w:type="dxa"/>
              <w:left w:w="100" w:type="dxa"/>
              <w:bottom w:w="60" w:type="dxa"/>
              <w:right w:w="100" w:type="dxa"/>
            </w:tcMar>
            <w:shd w:fill="1E3A8A"/>
            <w:tcMar>
              <w:top w:w="120" w:type="dxa"/>
              <w:bottom w:w="120" w:type="dxa"/>
              <w:left w:w="100" w:type="dxa"/>
              <w:right w:w="100" w:type="dxa"/>
            </w:tcMar>
          </w:tcPr>
          <w:p>
            <w:pPr>
              <w:jc w:val="center"/>
            </w:pPr>
            <w:r>
              <w:rPr>
                <w:rFonts w:ascii="Arial" w:hAnsi="Arial"/>
                <w:b/>
                <w:color w:val="FFFFFF"/>
                <w:sz w:val="19"/>
              </w:rPr>
              <w:t>Justification, Identified Ethical Risks, Stakeholder Impact &amp; Mitigation Measures</w:t>
            </w:r>
          </w:p>
        </w:tc>
      </w:tr>
      <w:tr w:rsidR="00107A61" w:rsidRPr="00386139" w14:paraId="5BB32C62" w14:textId="77777777" w:rsidTr="00855B67">
        <w:trPr>
          <w:cantSplit/>
        </w:trPr>
        <w:tc>
          <w:tcPr>
            <w:tcW w:w="237" w:type="pct"/>
          </w:tcPr>
          <w:p>
            <w:pPr>
              <w:jc w:val="center"/>
            </w:pPr>
            <w:r>
              <w:rPr>
                <w:b/>
                <w:sz w:val="18"/>
              </w:rPr>
              <w:t>1.</w:t>
            </w:r>
          </w:p>
        </w:tc>
        <w:tc>
          <w:tcPr>
            <w:tcW w:w="1184" w:type="pct"/>
            <w:tcMar>
              <w:top w:w="60" w:type="dxa"/>
              <w:left w:w="100" w:type="dxa"/>
              <w:bottom w:w="60" w:type="dxa"/>
              <w:right w:w="100" w:type="dxa"/>
            </w:tcMar>
          </w:tcPr>
          <w:p>
            <w:pPr>
              <w:jc w:val="left"/>
            </w:pPr>
            <w:r>
              <w:rPr>
                <w:b/>
                <w:color w:val="1E3A8A"/>
                <w:sz w:val="19"/>
              </w:rPr>
              <w:t>Fairness</w:t>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shd w:fill="FEF08A"/>
          </w:tcPr>
          <w:p>
            <w:pPr>
              <w:jc w:val="center"/>
            </w:pPr>
            <w:r>
              <w:rPr>
                <w:b/>
                <w:color w:val="854D0E"/>
                <w:sz w:val="17"/>
              </w:rPr>
              <w:t>⚠ IMPROVE</w:t>
            </w:r>
          </w:p>
        </w:tc>
        <w:tc>
          <w:tcPr>
            <w:tcW w:w="524" w:type="pct"/>
            <w:tcMar>
              <w:top w:w="60" w:type="dxa"/>
              <w:left w:w="100" w:type="dxa"/>
              <w:bottom w:w="60" w:type="dxa"/>
              <w:right w:w="100" w:type="dxa"/>
            </w:tcMar>
          </w:tcPr>
          <w:p>
            <w:r/>
          </w:p>
        </w:tc>
        <w:tc>
          <w:tcPr>
            <w:tcW w:w="2007" w:type="pct"/>
            <w:tcMar>
              <w:top w:w="60" w:type="dxa"/>
              <w:left w:w="100" w:type="dxa"/>
              <w:bottom w:w="60" w:type="dxa"/>
              <w:right w:w="100" w:type="dxa"/>
            </w:tcMar>
            <w:tcMar>
              <w:top w:w="100" w:type="dxa"/>
              <w:bottom w:w="100" w:type="dxa"/>
              <w:left w:w="120" w:type="dxa"/>
              <w:right w:w="120" w:type="dxa"/>
            </w:tcMar>
          </w:tcPr>
          <w:p>
            <w:pPr>
              <w:spacing w:after="60" w:line="269" w:lineRule="auto"/>
              <w:jc w:val="left"/>
            </w:pPr>
            <w:r/>
            <w:r>
              <w:rPr>
                <w:rFonts w:ascii="Arial" w:hAnsi="Arial"/>
                <w:b/>
                <w:color w:val="1E3A8A"/>
                <w:sz w:val="17"/>
              </w:rPr>
              <w:t xml:space="preserve">Current Condition &amp; Justification: </w:t>
            </w:r>
            <w:r>
              <w:rPr>
                <w:rFonts w:ascii="Arial" w:hAnsi="Arial"/>
                <w:b w:val="0"/>
                <w:color w:val="1E293B"/>
                <w:sz w:val="17"/>
              </w:rPr>
              <w:t>Model accuracy is predominantly tested in heavily gauged urban river basins (e.g., Klang Valley). Rural, indigenous (Orang Asli), and informal settlement river catchments suffer from sparse gauge density, resulting in spatial data under-representation.</w:t>
            </w:r>
          </w:p>
          <w:p>
            <w:pPr>
              <w:spacing w:after="60" w:line="269" w:lineRule="auto"/>
              <w:jc w:val="left"/>
            </w:pPr>
            <w:r>
              <w:rPr>
                <w:rFonts w:ascii="Arial" w:hAnsi="Arial"/>
                <w:b/>
                <w:color w:val="1E3A8A"/>
                <w:sz w:val="17"/>
              </w:rPr>
              <w:t xml:space="preserve">Identified Ethical Risk: </w:t>
            </w:r>
            <w:r>
              <w:rPr>
                <w:rFonts w:ascii="Arial" w:hAnsi="Arial"/>
                <w:b w:val="0"/>
                <w:color w:val="1E293B"/>
                <w:sz w:val="17"/>
              </w:rPr>
              <w:t>Algorithmic Bias &amp; Spatial Disparity — Higher false-negative rate (missed flood alerts) in low-gauge rural zones.</w:t>
            </w:r>
          </w:p>
          <w:p>
            <w:pPr>
              <w:spacing w:after="60" w:line="269" w:lineRule="auto"/>
              <w:jc w:val="left"/>
            </w:pPr>
            <w:r>
              <w:rPr>
                <w:rFonts w:ascii="Arial" w:hAnsi="Arial"/>
                <w:b/>
                <w:color w:val="1E3A8A"/>
                <w:sz w:val="17"/>
              </w:rPr>
              <w:t xml:space="preserve">Impact &amp; Stakeholders: </w:t>
            </w:r>
            <w:r>
              <w:rPr>
                <w:rFonts w:ascii="Arial" w:hAnsi="Arial"/>
                <w:b w:val="0"/>
                <w:color w:val="1E293B"/>
                <w:sz w:val="17"/>
              </w:rPr>
              <w:t>Rural agricultural communities and low-income informal settlers face unannounced flood inundation, leading to severe property destruction, livestock loss, and potential casualties.</w:t>
            </w:r>
          </w:p>
          <w:p>
            <w:pPr>
              <w:spacing w:after="60" w:line="269" w:lineRule="auto"/>
              <w:jc w:val="left"/>
            </w:pPr>
            <w:r>
              <w:rPr>
                <w:rFonts w:ascii="Arial" w:hAnsi="Arial"/>
                <w:b/>
                <w:color w:val="1E3A8A"/>
                <w:sz w:val="17"/>
              </w:rPr>
              <w:t xml:space="preserve">Mitigation Measures: </w:t>
            </w:r>
            <w:r>
              <w:rPr>
                <w:rFonts w:ascii="Arial" w:hAnsi="Arial"/>
                <w:b w:val="0"/>
                <w:color w:val="1E293B"/>
                <w:sz w:val="17"/>
              </w:rPr>
              <w:t>1) Integrate Sentinel-1 SAR satellite water masks to supplement low-gauge rural basins. 2) Deploy low-cost IoT stream gauges in remote hot-spots. 3) Re-weight training loss to equalize spatial prediction sensitivity across urban and rural catchments.</w:t>
            </w:r>
          </w:p>
        </w:tc>
      </w:tr>
      <w:tr w:rsidR="00107A61" w:rsidRPr="00386139" w14:paraId="78E3C094" w14:textId="77777777" w:rsidTr="00855B67">
        <w:trPr>
          <w:cantSplit/>
        </w:trPr>
        <w:tc>
          <w:tcPr>
            <w:tcW w:w="237" w:type="pct"/>
          </w:tcPr>
          <w:p>
            <w:pPr>
              <w:jc w:val="center"/>
            </w:pPr>
            <w:r>
              <w:rPr>
                <w:b/>
                <w:sz w:val="18"/>
              </w:rPr>
              <w:t>2.</w:t>
            </w:r>
          </w:p>
        </w:tc>
        <w:tc>
          <w:tcPr>
            <w:tcW w:w="1184" w:type="pct"/>
            <w:tcMar>
              <w:top w:w="60" w:type="dxa"/>
              <w:left w:w="100" w:type="dxa"/>
              <w:bottom w:w="60" w:type="dxa"/>
              <w:right w:w="100" w:type="dxa"/>
            </w:tcMar>
          </w:tcPr>
          <w:p>
            <w:pPr>
              <w:jc w:val="left"/>
            </w:pPr>
            <w:r>
              <w:rPr>
                <w:b/>
                <w:color w:val="1E3A8A"/>
                <w:sz w:val="19"/>
              </w:rPr>
              <w:t>Privacy</w:t>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shd w:fill="FECACA"/>
          </w:tcPr>
          <w:p>
            <w:pPr>
              <w:jc w:val="center"/>
            </w:pPr>
            <w:r>
              <w:rPr>
                <w:b/>
                <w:color w:val="991B1B"/>
                <w:sz w:val="17"/>
              </w:rPr>
              <w:t>✖ HIGH RISK</w:t>
            </w:r>
          </w:p>
        </w:tc>
        <w:tc>
          <w:tcPr>
            <w:tcW w:w="2007" w:type="pct"/>
            <w:tcMar>
              <w:top w:w="60" w:type="dxa"/>
              <w:left w:w="100" w:type="dxa"/>
              <w:bottom w:w="60" w:type="dxa"/>
              <w:right w:w="100" w:type="dxa"/>
            </w:tcMar>
            <w:tcMar>
              <w:top w:w="100" w:type="dxa"/>
              <w:bottom w:w="100" w:type="dxa"/>
              <w:left w:w="120" w:type="dxa"/>
              <w:right w:w="120" w:type="dxa"/>
            </w:tcMar>
          </w:tcPr>
          <w:p>
            <w:pPr>
              <w:spacing w:after="60" w:line="269" w:lineRule="auto"/>
              <w:jc w:val="left"/>
            </w:pPr>
            <w:r/>
            <w:r>
              <w:rPr>
                <w:rFonts w:ascii="Arial" w:hAnsi="Arial"/>
                <w:b/>
                <w:color w:val="1E3A8A"/>
                <w:sz w:val="17"/>
              </w:rPr>
              <w:t xml:space="preserve">Current Condition &amp; Justification: </w:t>
            </w:r>
            <w:r>
              <w:rPr>
                <w:rFonts w:ascii="Arial" w:hAnsi="Arial"/>
                <w:b w:val="0"/>
                <w:color w:val="1E293B"/>
                <w:sz w:val="17"/>
              </w:rPr>
              <w:t>The system ingests and centrally stores exact household GPS coordinates, personal phone numbers, and residential address records paired with flood-vulnerability scores without anonymization or encryption.</w:t>
            </w:r>
          </w:p>
          <w:p>
            <w:pPr>
              <w:spacing w:after="60" w:line="269" w:lineRule="auto"/>
              <w:jc w:val="left"/>
            </w:pPr>
            <w:r>
              <w:rPr>
                <w:rFonts w:ascii="Arial" w:hAnsi="Arial"/>
                <w:b/>
                <w:color w:val="1E3A8A"/>
                <w:sz w:val="17"/>
              </w:rPr>
              <w:t xml:space="preserve">Identified Ethical Risk: </w:t>
            </w:r>
            <w:r>
              <w:rPr>
                <w:rFonts w:ascii="Arial" w:hAnsi="Arial"/>
                <w:b w:val="0"/>
                <w:color w:val="1E293B"/>
                <w:sz w:val="17"/>
              </w:rPr>
              <w:t>Privacy Infringement &amp; Unsanctioned Surveillance — Central storage of raw, unencrypted PII exposes sensitive residential location data.</w:t>
            </w:r>
          </w:p>
          <w:p>
            <w:pPr>
              <w:spacing w:after="60" w:line="269" w:lineRule="auto"/>
              <w:jc w:val="left"/>
            </w:pPr>
            <w:r>
              <w:rPr>
                <w:rFonts w:ascii="Arial" w:hAnsi="Arial"/>
                <w:b/>
                <w:color w:val="1E3A8A"/>
                <w:sz w:val="17"/>
              </w:rPr>
              <w:t xml:space="preserve">Impact &amp; Stakeholders: </w:t>
            </w:r>
            <w:r>
              <w:rPr>
                <w:rFonts w:ascii="Arial" w:hAnsi="Arial"/>
                <w:b w:val="0"/>
                <w:color w:val="1E293B"/>
                <w:sz w:val="17"/>
              </w:rPr>
              <w:t>Property owners and residents risk data leakage, unauthorized commercial exploitation, real-estate devaluation, or predatory insurance rate discrimination.</w:t>
            </w:r>
          </w:p>
          <w:p>
            <w:pPr>
              <w:spacing w:after="60" w:line="269" w:lineRule="auto"/>
              <w:jc w:val="left"/>
            </w:pPr>
            <w:r>
              <w:rPr>
                <w:rFonts w:ascii="Arial" w:hAnsi="Arial"/>
                <w:b/>
                <w:color w:val="1E3A8A"/>
                <w:sz w:val="17"/>
              </w:rPr>
              <w:t xml:space="preserve">Mitigation Measures: </w:t>
            </w:r>
            <w:r>
              <w:rPr>
                <w:rFonts w:ascii="Arial" w:hAnsi="Arial"/>
                <w:b w:val="0"/>
                <w:color w:val="1E293B"/>
                <w:sz w:val="17"/>
              </w:rPr>
              <w:t>1) Enforce spatial k-anonymity and aggregate public alert dispatch to 250m H3 hexagonal spatial grids rather than raw household points. 2) Implement end-to-end PII encryption and Role-Based Access Control (RBAC). 3) Enforce strict data minimization and purge transient contact telemetry post-alert delivery.</w:t>
            </w:r>
          </w:p>
        </w:tc>
      </w:tr>
      <w:tr w:rsidR="00107A61" w:rsidRPr="00386139" w14:paraId="755A1DBE" w14:textId="77777777" w:rsidTr="00855B67">
        <w:trPr>
          <w:cantSplit/>
        </w:trPr>
        <w:tc>
          <w:tcPr>
            <w:tcW w:w="237" w:type="pct"/>
          </w:tcPr>
          <w:p>
            <w:pPr>
              <w:jc w:val="center"/>
            </w:pPr>
            <w:r>
              <w:rPr>
                <w:b/>
                <w:sz w:val="18"/>
              </w:rPr>
              <w:t>3.</w:t>
            </w:r>
          </w:p>
        </w:tc>
        <w:tc>
          <w:tcPr>
            <w:tcW w:w="1184" w:type="pct"/>
            <w:tcMar>
              <w:top w:w="60" w:type="dxa"/>
              <w:left w:w="100" w:type="dxa"/>
              <w:bottom w:w="60" w:type="dxa"/>
              <w:right w:w="100" w:type="dxa"/>
            </w:tcMar>
          </w:tcPr>
          <w:p>
            <w:pPr>
              <w:jc w:val="left"/>
            </w:pPr>
            <w:r>
              <w:rPr>
                <w:b/>
                <w:color w:val="1E3A8A"/>
                <w:sz w:val="19"/>
              </w:rPr>
              <w:t>Transparency</w:t>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shd w:fill="FEF08A"/>
          </w:tcPr>
          <w:p>
            <w:pPr>
              <w:jc w:val="center"/>
            </w:pPr>
            <w:r>
              <w:rPr>
                <w:b/>
                <w:color w:val="854D0E"/>
                <w:sz w:val="17"/>
              </w:rPr>
              <w:t>⚠ IMPROVE</w:t>
            </w:r>
          </w:p>
        </w:tc>
        <w:tc>
          <w:tcPr>
            <w:tcW w:w="524" w:type="pct"/>
            <w:tcMar>
              <w:top w:w="60" w:type="dxa"/>
              <w:left w:w="100" w:type="dxa"/>
              <w:bottom w:w="60" w:type="dxa"/>
              <w:right w:w="100" w:type="dxa"/>
            </w:tcMar>
          </w:tcPr>
          <w:p>
            <w:r/>
          </w:p>
        </w:tc>
        <w:tc>
          <w:tcPr>
            <w:tcW w:w="2007" w:type="pct"/>
            <w:tcMar>
              <w:top w:w="60" w:type="dxa"/>
              <w:left w:w="100" w:type="dxa"/>
              <w:bottom w:w="60" w:type="dxa"/>
              <w:right w:w="100" w:type="dxa"/>
            </w:tcMar>
            <w:tcMar>
              <w:top w:w="100" w:type="dxa"/>
              <w:bottom w:w="100" w:type="dxa"/>
              <w:left w:w="120" w:type="dxa"/>
              <w:right w:w="120" w:type="dxa"/>
            </w:tcMar>
          </w:tcPr>
          <w:p>
            <w:pPr>
              <w:spacing w:after="60" w:line="269" w:lineRule="auto"/>
              <w:jc w:val="left"/>
            </w:pPr>
            <w:r/>
            <w:r>
              <w:rPr>
                <w:rFonts w:ascii="Arial" w:hAnsi="Arial"/>
                <w:b/>
                <w:color w:val="1E3A8A"/>
                <w:sz w:val="17"/>
              </w:rPr>
              <w:t xml:space="preserve">Current Condition &amp; Justification: </w:t>
            </w:r>
            <w:r>
              <w:rPr>
                <w:rFonts w:ascii="Arial" w:hAnsi="Arial"/>
                <w:b w:val="0"/>
                <w:color w:val="1E293B"/>
                <w:sz w:val="17"/>
              </w:rPr>
              <w:t>The AI system outputs opaque, black-box probability scores (e.g., 'Risk = 0.88') without explaining the underlying spatial drivers or physical triggers.</w:t>
            </w:r>
          </w:p>
          <w:p>
            <w:pPr>
              <w:spacing w:after="60" w:line="269" w:lineRule="auto"/>
              <w:jc w:val="left"/>
            </w:pPr>
            <w:r>
              <w:rPr>
                <w:rFonts w:ascii="Arial" w:hAnsi="Arial"/>
                <w:b/>
                <w:color w:val="1E3A8A"/>
                <w:sz w:val="17"/>
              </w:rPr>
              <w:t xml:space="preserve">Identified Ethical Risk: </w:t>
            </w:r>
            <w:r>
              <w:rPr>
                <w:rFonts w:ascii="Arial" w:hAnsi="Arial"/>
                <w:b w:val="0"/>
                <w:color w:val="1E293B"/>
                <w:sz w:val="17"/>
              </w:rPr>
              <w:t>Opacity &amp; Explainability Deficit — Emergency managers and residents receive unexplained numbers without physical context.</w:t>
            </w:r>
          </w:p>
          <w:p>
            <w:pPr>
              <w:spacing w:after="60" w:line="269" w:lineRule="auto"/>
              <w:jc w:val="left"/>
            </w:pPr>
            <w:r>
              <w:rPr>
                <w:rFonts w:ascii="Arial" w:hAnsi="Arial"/>
                <w:b/>
                <w:color w:val="1E3A8A"/>
                <w:sz w:val="17"/>
              </w:rPr>
              <w:t xml:space="preserve">Impact &amp; Stakeholders: </w:t>
            </w:r>
            <w:r>
              <w:rPr>
                <w:rFonts w:ascii="Arial" w:hAnsi="Arial"/>
                <w:b w:val="0"/>
                <w:color w:val="1E293B"/>
                <w:sz w:val="17"/>
              </w:rPr>
              <w:t>District emergency officers (BOMBA, SMART) experience decision hesitation during evacuations, while residents lack clarity on flood severity drivers (e.g., dam release vs. extreme rainfall).</w:t>
            </w:r>
          </w:p>
          <w:p>
            <w:pPr>
              <w:spacing w:after="60" w:line="269" w:lineRule="auto"/>
              <w:jc w:val="left"/>
            </w:pPr>
            <w:r>
              <w:rPr>
                <w:rFonts w:ascii="Arial" w:hAnsi="Arial"/>
                <w:b/>
                <w:color w:val="1E3A8A"/>
                <w:sz w:val="17"/>
              </w:rPr>
              <w:t xml:space="preserve">Mitigation Measures: </w:t>
            </w:r>
            <w:r>
              <w:rPr>
                <w:rFonts w:ascii="Arial" w:hAnsi="Arial"/>
                <w:b w:val="0"/>
                <w:color w:val="1E293B"/>
                <w:sz w:val="17"/>
              </w:rPr>
              <w:t>1) Integrate Explainable AI (XAI) feature attribution maps (SHAP/Integrated Gradients) into emergency dashboards. 2) Convert probabilities into natural-language alerts (e.g., 'High risk driven by 120mm/hr upstream rainfall combined with 16:00 high tide'). 3) Publish an open Model Card detailing dataset boundaries, accuracy limitations, and operating constraints.</w:t>
            </w:r>
          </w:p>
        </w:tc>
      </w:tr>
      <w:tr w:rsidR="00107A61" w:rsidRPr="00386139" w14:paraId="0DB03EE6" w14:textId="77777777" w:rsidTr="00855B67">
        <w:trPr>
          <w:cantSplit/>
        </w:trPr>
        <w:tc>
          <w:tcPr>
            <w:tcW w:w="237" w:type="pct"/>
          </w:tcPr>
          <w:p>
            <w:pPr>
              <w:jc w:val="center"/>
            </w:pPr>
            <w:r>
              <w:rPr>
                <w:b/>
                <w:sz w:val="18"/>
              </w:rPr>
              <w:t>4.</w:t>
            </w:r>
          </w:p>
        </w:tc>
        <w:tc>
          <w:tcPr>
            <w:tcW w:w="1184" w:type="pct"/>
            <w:tcMar>
              <w:top w:w="60" w:type="dxa"/>
              <w:left w:w="100" w:type="dxa"/>
              <w:bottom w:w="60" w:type="dxa"/>
              <w:right w:w="100" w:type="dxa"/>
            </w:tcMar>
          </w:tcPr>
          <w:p>
            <w:pPr>
              <w:jc w:val="left"/>
            </w:pPr>
            <w:r>
              <w:rPr>
                <w:b/>
                <w:color w:val="1E3A8A"/>
                <w:sz w:val="19"/>
              </w:rPr>
              <w:t>Accountability</w:t>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shd w:fill="FECACA"/>
          </w:tcPr>
          <w:p>
            <w:pPr>
              <w:jc w:val="center"/>
            </w:pPr>
            <w:r>
              <w:rPr>
                <w:b/>
                <w:color w:val="991B1B"/>
                <w:sz w:val="17"/>
              </w:rPr>
              <w:t>✖ HIGH RISK</w:t>
            </w:r>
          </w:p>
        </w:tc>
        <w:tc>
          <w:tcPr>
            <w:tcW w:w="2007" w:type="pct"/>
            <w:tcMar>
              <w:top w:w="60" w:type="dxa"/>
              <w:left w:w="100" w:type="dxa"/>
              <w:bottom w:w="60" w:type="dxa"/>
              <w:right w:w="100" w:type="dxa"/>
            </w:tcMar>
            <w:tcMar>
              <w:top w:w="100" w:type="dxa"/>
              <w:bottom w:w="100" w:type="dxa"/>
              <w:left w:w="120" w:type="dxa"/>
              <w:right w:w="120" w:type="dxa"/>
            </w:tcMar>
          </w:tcPr>
          <w:p>
            <w:pPr>
              <w:spacing w:after="60" w:line="269" w:lineRule="auto"/>
              <w:jc w:val="left"/>
            </w:pPr>
            <w:r/>
            <w:r>
              <w:rPr>
                <w:rFonts w:ascii="Arial" w:hAnsi="Arial"/>
                <w:b/>
                <w:color w:val="1E3A8A"/>
                <w:sz w:val="17"/>
              </w:rPr>
              <w:t xml:space="preserve">Current Condition &amp; Justification: </w:t>
            </w:r>
            <w:r>
              <w:rPr>
                <w:rFonts w:ascii="Arial" w:hAnsi="Arial"/>
                <w:b w:val="0"/>
                <w:color w:val="1E293B"/>
                <w:sz w:val="17"/>
              </w:rPr>
              <w:t>No formal governance framework or legal RACI matrix exists defining explicit liability between GeoAI developers, hydrologists, and public emergency response agencies in the event of system failure.</w:t>
            </w:r>
          </w:p>
          <w:p>
            <w:pPr>
              <w:spacing w:after="60" w:line="269" w:lineRule="auto"/>
              <w:jc w:val="left"/>
            </w:pPr>
            <w:r>
              <w:rPr>
                <w:rFonts w:ascii="Arial" w:hAnsi="Arial"/>
                <w:b/>
                <w:color w:val="1E3A8A"/>
                <w:sz w:val="17"/>
              </w:rPr>
              <w:t xml:space="preserve">Identified Ethical Risk: </w:t>
            </w:r>
            <w:r>
              <w:rPr>
                <w:rFonts w:ascii="Arial" w:hAnsi="Arial"/>
                <w:b w:val="0"/>
                <w:color w:val="1E293B"/>
                <w:sz w:val="17"/>
              </w:rPr>
              <w:t>Diffusion of Responsibility &amp; Unclear Liability — Absence of a designated entity held accountable for false positives (costly panic) or false negatives (unwarned disasters).</w:t>
            </w:r>
          </w:p>
          <w:p>
            <w:pPr>
              <w:spacing w:after="60" w:line="269" w:lineRule="auto"/>
              <w:jc w:val="left"/>
            </w:pPr>
            <w:r>
              <w:rPr>
                <w:rFonts w:ascii="Arial" w:hAnsi="Arial"/>
                <w:b/>
                <w:color w:val="1E3A8A"/>
                <w:sz w:val="17"/>
              </w:rPr>
              <w:t xml:space="preserve">Impact &amp; Stakeholders: </w:t>
            </w:r>
            <w:r>
              <w:rPr>
                <w:rFonts w:ascii="Arial" w:hAnsi="Arial"/>
                <w:b w:val="0"/>
                <w:color w:val="1E293B"/>
                <w:sz w:val="17"/>
              </w:rPr>
              <w:t>Disaster response agencies face legal vulnerabilities and operational deadlock, while affected flood victims are left without legal recourse or formal redress mechanisms.</w:t>
            </w:r>
          </w:p>
          <w:p>
            <w:pPr>
              <w:spacing w:after="60" w:line="269" w:lineRule="auto"/>
              <w:jc w:val="left"/>
            </w:pPr>
            <w:r>
              <w:rPr>
                <w:rFonts w:ascii="Arial" w:hAnsi="Arial"/>
                <w:b/>
                <w:color w:val="1E3A8A"/>
                <w:sz w:val="17"/>
              </w:rPr>
              <w:t xml:space="preserve">Mitigation Measures: </w:t>
            </w:r>
            <w:r>
              <w:rPr>
                <w:rFonts w:ascii="Arial" w:hAnsi="Arial"/>
                <w:b w:val="0"/>
                <w:color w:val="1E293B"/>
                <w:sz w:val="17"/>
              </w:rPr>
              <w:t>1) Formulate an Inter-Agency Memorandum of Understanding (MoU) establishing that the AI operates strictly as decision support, while human Civil Defense Directors retain final decision authority. 2) Mandate an independent Post-Event AI Performance Audit Committee. 3) Maintain an immutable, tamper-evident audit log of all predictions and human overrides.</w:t>
            </w:r>
          </w:p>
        </w:tc>
      </w:tr>
      <w:tr w:rsidR="00107A61" w:rsidRPr="00386139" w14:paraId="3BE2B2C8" w14:textId="77777777" w:rsidTr="00855B67">
        <w:trPr>
          <w:cantSplit/>
        </w:trPr>
        <w:tc>
          <w:tcPr>
            <w:tcW w:w="237" w:type="pct"/>
          </w:tcPr>
          <w:p>
            <w:pPr>
              <w:jc w:val="center"/>
            </w:pPr>
            <w:r>
              <w:rPr>
                <w:b/>
                <w:sz w:val="18"/>
              </w:rPr>
              <w:t>5.</w:t>
            </w:r>
          </w:p>
        </w:tc>
        <w:tc>
          <w:tcPr>
            <w:tcW w:w="1184" w:type="pct"/>
            <w:tcMar>
              <w:top w:w="60" w:type="dxa"/>
              <w:left w:w="100" w:type="dxa"/>
              <w:bottom w:w="60" w:type="dxa"/>
              <w:right w:w="100" w:type="dxa"/>
            </w:tcMar>
          </w:tcPr>
          <w:p>
            <w:pPr>
              <w:jc w:val="left"/>
            </w:pPr>
            <w:r>
              <w:rPr>
                <w:b/>
                <w:color w:val="1E3A8A"/>
                <w:sz w:val="19"/>
              </w:rPr>
              <w:t>Safety &amp; Reliability</w:t>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shd w:fill="FEF08A"/>
          </w:tcPr>
          <w:p>
            <w:pPr>
              <w:jc w:val="center"/>
            </w:pPr>
            <w:r>
              <w:rPr>
                <w:b/>
                <w:color w:val="854D0E"/>
                <w:sz w:val="17"/>
              </w:rPr>
              <w:t>⚠ IMPROVE</w:t>
            </w:r>
          </w:p>
        </w:tc>
        <w:tc>
          <w:tcPr>
            <w:tcW w:w="524" w:type="pct"/>
            <w:tcMar>
              <w:top w:w="60" w:type="dxa"/>
              <w:left w:w="100" w:type="dxa"/>
              <w:bottom w:w="60" w:type="dxa"/>
              <w:right w:w="100" w:type="dxa"/>
            </w:tcMar>
          </w:tcPr>
          <w:p>
            <w:r/>
          </w:p>
        </w:tc>
        <w:tc>
          <w:tcPr>
            <w:tcW w:w="2007" w:type="pct"/>
            <w:tcMar>
              <w:top w:w="60" w:type="dxa"/>
              <w:left w:w="100" w:type="dxa"/>
              <w:bottom w:w="60" w:type="dxa"/>
              <w:right w:w="100" w:type="dxa"/>
            </w:tcMar>
            <w:tcMar>
              <w:top w:w="100" w:type="dxa"/>
              <w:bottom w:w="100" w:type="dxa"/>
              <w:left w:w="120" w:type="dxa"/>
              <w:right w:w="120" w:type="dxa"/>
            </w:tcMar>
          </w:tcPr>
          <w:p>
            <w:pPr>
              <w:spacing w:after="60" w:line="269" w:lineRule="auto"/>
              <w:jc w:val="left"/>
            </w:pPr>
            <w:r/>
            <w:r>
              <w:rPr>
                <w:rFonts w:ascii="Arial" w:hAnsi="Arial"/>
                <w:b/>
                <w:color w:val="1E3A8A"/>
                <w:sz w:val="17"/>
              </w:rPr>
              <w:t xml:space="preserve">Current Condition &amp; Justification: </w:t>
            </w:r>
            <w:r>
              <w:rPr>
                <w:rFonts w:ascii="Arial" w:hAnsi="Arial"/>
                <w:b w:val="0"/>
                <w:color w:val="1E293B"/>
                <w:sz w:val="17"/>
              </w:rPr>
              <w:t>The model lacks real-time confidence metrics, Out-of-Distribution (OOD) monitoring, and automated fallback controls when input sensors (telemetry/radar) become corrupted or degraded during extreme storms.</w:t>
            </w:r>
          </w:p>
          <w:p>
            <w:pPr>
              <w:spacing w:after="60" w:line="269" w:lineRule="auto"/>
              <w:jc w:val="left"/>
            </w:pPr>
            <w:r>
              <w:rPr>
                <w:rFonts w:ascii="Arial" w:hAnsi="Arial"/>
                <w:b/>
                <w:color w:val="1E3A8A"/>
                <w:sz w:val="17"/>
              </w:rPr>
              <w:t xml:space="preserve">Identified Ethical Risk: </w:t>
            </w:r>
            <w:r>
              <w:rPr>
                <w:rFonts w:ascii="Arial" w:hAnsi="Arial"/>
                <w:b w:val="0"/>
                <w:color w:val="1E293B"/>
                <w:sz w:val="17"/>
              </w:rPr>
              <w:t>System Degradation &amp; Misleading Precision — Risk of confident but dangerously incorrect predictions during unprecedented climate events exceeding historical training data.</w:t>
            </w:r>
          </w:p>
          <w:p>
            <w:pPr>
              <w:spacing w:after="60" w:line="269" w:lineRule="auto"/>
              <w:jc w:val="left"/>
            </w:pPr>
            <w:r>
              <w:rPr>
                <w:rFonts w:ascii="Arial" w:hAnsi="Arial"/>
                <w:b/>
                <w:color w:val="1E3A8A"/>
                <w:sz w:val="17"/>
              </w:rPr>
              <w:t xml:space="preserve">Impact &amp; Stakeholders: </w:t>
            </w:r>
            <w:r>
              <w:rPr>
                <w:rFonts w:ascii="Arial" w:hAnsi="Arial"/>
                <w:b w:val="0"/>
                <w:color w:val="1E293B"/>
                <w:sz w:val="17"/>
              </w:rPr>
              <w:t>Emergency responders and vulnerable populations risk relying on degraded AI outputs, resulting in misallocated rescue boats, missed evacuations, or fatal delays.</w:t>
            </w:r>
          </w:p>
          <w:p>
            <w:pPr>
              <w:spacing w:after="60" w:line="269" w:lineRule="auto"/>
              <w:jc w:val="left"/>
            </w:pPr>
            <w:r>
              <w:rPr>
                <w:rFonts w:ascii="Arial" w:hAnsi="Arial"/>
                <w:b/>
                <w:color w:val="1E3A8A"/>
                <w:sz w:val="17"/>
              </w:rPr>
              <w:t xml:space="preserve">Mitigation Measures: </w:t>
            </w:r>
            <w:r>
              <w:rPr>
                <w:rFonts w:ascii="Arial" w:hAnsi="Arial"/>
                <w:b w:val="0"/>
                <w:color w:val="1E293B"/>
                <w:sz w:val="17"/>
              </w:rPr>
              <w:t>1) Deploy real-time OOD distance monitors and sensor data sanity checks. 2) Display explicit spatial confidence bands (High/Medium/Low) on responder maps. 3) Implement automated fail-safe fallback to deterministic physics-based hydrological models (HEC-RAS/SWMM) when ML uncertainty exceeds safety thresholds.</w:t>
            </w:r>
          </w:p>
        </w:tc>
      </w:tr>
      <w:tr w:rsidR="00107A61" w:rsidRPr="00386139" w14:paraId="15E34FFD" w14:textId="77777777" w:rsidTr="00855B67">
        <w:trPr>
          <w:cantSplit/>
        </w:trPr>
        <w:tc>
          <w:tcPr>
            <w:tcW w:w="237" w:type="pct"/>
          </w:tcPr>
          <w:p>
            <w:pPr>
              <w:jc w:val="center"/>
            </w:pPr>
            <w:r>
              <w:rPr>
                <w:b/>
                <w:sz w:val="18"/>
              </w:rPr>
              <w:t>6.</w:t>
            </w:r>
          </w:p>
        </w:tc>
        <w:tc>
          <w:tcPr>
            <w:tcW w:w="1184" w:type="pct"/>
            <w:tcMar>
              <w:top w:w="60" w:type="dxa"/>
              <w:left w:w="100" w:type="dxa"/>
              <w:bottom w:w="60" w:type="dxa"/>
              <w:right w:w="100" w:type="dxa"/>
            </w:tcMar>
          </w:tcPr>
          <w:p>
            <w:pPr>
              <w:jc w:val="left"/>
            </w:pPr>
            <w:r>
              <w:rPr>
                <w:b/>
                <w:color w:val="1E3A8A"/>
                <w:sz w:val="19"/>
              </w:rPr>
              <w:t>Sustainability</w:t>
            </w:r>
          </w:p>
        </w:tc>
        <w:tc>
          <w:tcPr>
            <w:tcW w:w="524" w:type="pct"/>
            <w:tcMar>
              <w:top w:w="60" w:type="dxa"/>
              <w:left w:w="100" w:type="dxa"/>
              <w:bottom w:w="60" w:type="dxa"/>
              <w:right w:w="100" w:type="dxa"/>
            </w:tcMar>
            <w:shd w:fill="DCFCE7"/>
          </w:tcPr>
          <w:p>
            <w:pPr>
              <w:jc w:val="center"/>
            </w:pPr>
            <w:r>
              <w:rPr>
                <w:b/>
                <w:color w:val="166534"/>
                <w:sz w:val="17"/>
              </w:rPr>
              <w:t>✔ ACCEPTABLE</w:t>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tcPr>
          <w:p>
            <w:r/>
          </w:p>
        </w:tc>
        <w:tc>
          <w:tcPr>
            <w:tcW w:w="2007" w:type="pct"/>
            <w:tcMar>
              <w:top w:w="60" w:type="dxa"/>
              <w:left w:w="100" w:type="dxa"/>
              <w:bottom w:w="60" w:type="dxa"/>
              <w:right w:w="100" w:type="dxa"/>
            </w:tcMar>
            <w:tcMar>
              <w:top w:w="100" w:type="dxa"/>
              <w:bottom w:w="100" w:type="dxa"/>
              <w:left w:w="120" w:type="dxa"/>
              <w:right w:w="120" w:type="dxa"/>
            </w:tcMar>
          </w:tcPr>
          <w:p>
            <w:pPr>
              <w:spacing w:after="60" w:line="269" w:lineRule="auto"/>
              <w:jc w:val="left"/>
            </w:pPr>
            <w:r/>
            <w:r>
              <w:rPr>
                <w:rFonts w:ascii="Arial" w:hAnsi="Arial"/>
                <w:b/>
                <w:color w:val="1E3A8A"/>
                <w:sz w:val="17"/>
              </w:rPr>
              <w:t xml:space="preserve">Current Condition &amp; Justification: </w:t>
            </w:r>
            <w:r>
              <w:rPr>
                <w:rFonts w:ascii="Arial" w:hAnsi="Arial"/>
                <w:b w:val="0"/>
                <w:color w:val="1E293B"/>
                <w:sz w:val="17"/>
              </w:rPr>
              <w:t>The system utilizes lightweight, optimized spatial inference pipelines (pruned LightGBM/U-Net) running on modest, energy-efficient cloud infrastructure with minimal carbon footprint.</w:t>
            </w:r>
          </w:p>
          <w:p>
            <w:pPr>
              <w:spacing w:after="60" w:line="269" w:lineRule="auto"/>
              <w:jc w:val="left"/>
            </w:pPr>
            <w:r>
              <w:rPr>
                <w:rFonts w:ascii="Arial" w:hAnsi="Arial"/>
                <w:b/>
                <w:color w:val="1E3A8A"/>
                <w:sz w:val="17"/>
              </w:rPr>
              <w:t xml:space="preserve">Identified Ethical Risk: </w:t>
            </w:r>
            <w:r>
              <w:rPr>
                <w:rFonts w:ascii="Arial" w:hAnsi="Arial"/>
                <w:b w:val="0"/>
                <w:color w:val="1E293B"/>
                <w:sz w:val="17"/>
              </w:rPr>
              <w:t>Low Environmental Risk — Operational energy usage and computational costs are well-managed and sustainable.</w:t>
            </w:r>
          </w:p>
          <w:p>
            <w:pPr>
              <w:spacing w:after="60" w:line="269" w:lineRule="auto"/>
              <w:jc w:val="left"/>
            </w:pPr>
            <w:r>
              <w:rPr>
                <w:rFonts w:ascii="Arial" w:hAnsi="Arial"/>
                <w:b/>
                <w:color w:val="1E3A8A"/>
                <w:sz w:val="17"/>
              </w:rPr>
              <w:t xml:space="preserve">Impact &amp; Stakeholders: </w:t>
            </w:r>
            <w:r>
              <w:rPr>
                <w:rFonts w:ascii="Arial" w:hAnsi="Arial"/>
                <w:b w:val="0"/>
                <w:color w:val="1E293B"/>
                <w:sz w:val="17"/>
              </w:rPr>
              <w:t>Positive long-term financial and environmental viability for municipal disaster budgets.</w:t>
            </w:r>
          </w:p>
          <w:p>
            <w:pPr>
              <w:spacing w:after="60" w:line="269" w:lineRule="auto"/>
              <w:jc w:val="left"/>
            </w:pPr>
            <w:r>
              <w:rPr>
                <w:rFonts w:ascii="Arial" w:hAnsi="Arial"/>
                <w:b/>
                <w:color w:val="1E3A8A"/>
                <w:sz w:val="17"/>
              </w:rPr>
              <w:t xml:space="preserve">Mitigation Measures: </w:t>
            </w:r>
            <w:r>
              <w:rPr>
                <w:rFonts w:ascii="Arial" w:hAnsi="Arial"/>
                <w:b w:val="0"/>
                <w:color w:val="1E293B"/>
                <w:sz w:val="17"/>
              </w:rPr>
              <w:t>1) Maintain green computing standards by hosting cloud retraining pipelines in regions powered by renewable energy. 2) Utilize incremental delta-training updates rather than full retraining runs to minimize compute overhead.</w:t>
            </w:r>
          </w:p>
        </w:tc>
      </w:tr>
      <w:tr w:rsidR="00107A61" w:rsidRPr="00386139" w14:paraId="40E939AF" w14:textId="77777777" w:rsidTr="00855B67">
        <w:trPr>
          <w:cantSplit/>
        </w:trPr>
        <w:tc>
          <w:tcPr>
            <w:tcW w:w="237" w:type="pct"/>
          </w:tcPr>
          <w:p>
            <w:pPr>
              <w:jc w:val="center"/>
            </w:pPr>
            <w:r>
              <w:rPr>
                <w:b/>
                <w:sz w:val="18"/>
              </w:rPr>
              <w:t>7.</w:t>
            </w:r>
          </w:p>
        </w:tc>
        <w:tc>
          <w:tcPr>
            <w:tcW w:w="1184" w:type="pct"/>
            <w:tcMar>
              <w:top w:w="60" w:type="dxa"/>
              <w:left w:w="100" w:type="dxa"/>
              <w:bottom w:w="60" w:type="dxa"/>
              <w:right w:w="100" w:type="dxa"/>
            </w:tcMar>
          </w:tcPr>
          <w:p>
            <w:pPr>
              <w:jc w:val="left"/>
            </w:pPr>
            <w:r>
              <w:rPr>
                <w:b/>
                <w:color w:val="1E3A8A"/>
                <w:sz w:val="19"/>
              </w:rPr>
              <w:t>Human Oversight</w:t>
            </w:r>
          </w:p>
        </w:tc>
        <w:tc>
          <w:tcPr>
            <w:tcW w:w="524" w:type="pct"/>
            <w:tcMar>
              <w:top w:w="60" w:type="dxa"/>
              <w:left w:w="100" w:type="dxa"/>
              <w:bottom w:w="60" w:type="dxa"/>
              <w:right w:w="100" w:type="dxa"/>
            </w:tcMar>
            <w:shd w:fill="DCFCE7"/>
          </w:tcPr>
          <w:p>
            <w:pPr>
              <w:jc w:val="center"/>
            </w:pPr>
            <w:r>
              <w:rPr>
                <w:b/>
                <w:color w:val="166534"/>
                <w:sz w:val="17"/>
              </w:rPr>
              <w:t>✔ ACCEPTABLE</w:t>
            </w:r>
          </w:p>
        </w:tc>
        <w:tc>
          <w:tcPr>
            <w:tcW w:w="524" w:type="pct"/>
            <w:tcMar>
              <w:top w:w="60" w:type="dxa"/>
              <w:left w:w="100" w:type="dxa"/>
              <w:bottom w:w="60" w:type="dxa"/>
              <w:right w:w="100" w:type="dxa"/>
            </w:tcMar>
          </w:tcPr>
          <w:p>
            <w:r/>
          </w:p>
        </w:tc>
        <w:tc>
          <w:tcPr>
            <w:tcW w:w="524" w:type="pct"/>
            <w:tcMar>
              <w:top w:w="60" w:type="dxa"/>
              <w:left w:w="100" w:type="dxa"/>
              <w:bottom w:w="60" w:type="dxa"/>
              <w:right w:w="100" w:type="dxa"/>
            </w:tcMar>
          </w:tcPr>
          <w:p>
            <w:r/>
          </w:p>
        </w:tc>
        <w:tc>
          <w:tcPr>
            <w:tcW w:w="2007" w:type="pct"/>
            <w:tcMar>
              <w:top w:w="60" w:type="dxa"/>
              <w:left w:w="100" w:type="dxa"/>
              <w:bottom w:w="60" w:type="dxa"/>
              <w:right w:w="100" w:type="dxa"/>
            </w:tcMar>
            <w:tcMar>
              <w:top w:w="100" w:type="dxa"/>
              <w:bottom w:w="100" w:type="dxa"/>
              <w:left w:w="120" w:type="dxa"/>
              <w:right w:w="120" w:type="dxa"/>
            </w:tcMar>
          </w:tcPr>
          <w:p>
            <w:pPr>
              <w:spacing w:after="60" w:line="269" w:lineRule="auto"/>
              <w:jc w:val="left"/>
            </w:pPr>
            <w:r/>
            <w:r>
              <w:rPr>
                <w:rFonts w:ascii="Arial" w:hAnsi="Arial"/>
                <w:b/>
                <w:color w:val="1E3A8A"/>
                <w:sz w:val="17"/>
              </w:rPr>
              <w:t xml:space="preserve">Current Condition &amp; Justification: </w:t>
            </w:r>
            <w:r>
              <w:rPr>
                <w:rFonts w:ascii="Arial" w:hAnsi="Arial"/>
                <w:b w:val="0"/>
                <w:color w:val="1E293B"/>
                <w:sz w:val="17"/>
              </w:rPr>
              <w:t>Designed with a mandatory Human-in-the-Loop (HITL) protocol where automated AI alerts require dual sign-off from duty hydrologists before public broadcast, supported by community crowd-sourced ground-truth reporting.</w:t>
            </w:r>
          </w:p>
          <w:p>
            <w:pPr>
              <w:spacing w:after="60" w:line="269" w:lineRule="auto"/>
              <w:jc w:val="left"/>
            </w:pPr>
            <w:r>
              <w:rPr>
                <w:rFonts w:ascii="Arial" w:hAnsi="Arial"/>
                <w:b/>
                <w:color w:val="1E3A8A"/>
                <w:sz w:val="17"/>
              </w:rPr>
              <w:t xml:space="preserve">Identified Ethical Risk: </w:t>
            </w:r>
            <w:r>
              <w:rPr>
                <w:rFonts w:ascii="Arial" w:hAnsi="Arial"/>
                <w:b w:val="0"/>
                <w:color w:val="1E293B"/>
                <w:sz w:val="17"/>
              </w:rPr>
              <w:t>Adequately Controlled Risk — Human verification effectively prevents unchecked automated errors.</w:t>
            </w:r>
          </w:p>
          <w:p>
            <w:pPr>
              <w:spacing w:after="60" w:line="269" w:lineRule="auto"/>
              <w:jc w:val="left"/>
            </w:pPr>
            <w:r>
              <w:rPr>
                <w:rFonts w:ascii="Arial" w:hAnsi="Arial"/>
                <w:b/>
                <w:color w:val="1E3A8A"/>
                <w:sz w:val="17"/>
              </w:rPr>
              <w:t xml:space="preserve">Impact &amp; Stakeholders: </w:t>
            </w:r>
            <w:r>
              <w:rPr>
                <w:rFonts w:ascii="Arial" w:hAnsi="Arial"/>
                <w:b w:val="0"/>
                <w:color w:val="1E293B"/>
                <w:sz w:val="17"/>
              </w:rPr>
              <w:t>Protects the public from false panics while empowering local residents to submit real-time ground-truth flood reports.</w:t>
            </w:r>
          </w:p>
          <w:p>
            <w:pPr>
              <w:spacing w:after="60" w:line="269" w:lineRule="auto"/>
              <w:jc w:val="left"/>
            </w:pPr>
            <w:r>
              <w:rPr>
                <w:rFonts w:ascii="Arial" w:hAnsi="Arial"/>
                <w:b/>
                <w:color w:val="1E3A8A"/>
                <w:sz w:val="17"/>
              </w:rPr>
              <w:t xml:space="preserve">Mitigation Measures: </w:t>
            </w:r>
            <w:r>
              <w:rPr>
                <w:rFonts w:ascii="Arial" w:hAnsi="Arial"/>
                <w:b w:val="0"/>
                <w:color w:val="1E293B"/>
                <w:sz w:val="17"/>
              </w:rPr>
              <w:t>1) Conduct regular scenario training for duty officers to prevent 'automation bias' (blindly trusting AI) or 'alert fatigue'. 2) Maintain community ground-truth reporting loops to validate and calibrate AI prediction grids in real time.</w:t>
            </w:r>
          </w:p>
        </w:tc>
      </w:tr>
    </w:tbl>
    <w:p w14:paraId="4E56C02C" w14:textId="77777777" w:rsidR="00CF6B4E" w:rsidRPr="00386139" w:rsidRDefault="00CF6B4E" w:rsidP="00CF6B4E">
      <w:pPr>
        <w:spacing w:before="140" w:after="40" w:line="276" w:lineRule="auto"/>
        <w:rPr>
          <w:rFonts w:ascii="Aptos" w:hAnsi="Aptos"/>
        </w:rPr>
      </w:pPr>
      <w:r w:rsidRPr="00386139">
        <w:rPr>
          <w:rFonts w:ascii="Arial" w:hAnsi="Arial"/>
          <w:i/>
          <w:iCs/>
          <w:sz w:val="18"/>
        </w:rPr>
        <w:t>Tip: for every Yellow or Red, write one concrete mitigation in the Notes column — this table then becomes the seed of your project’s Ethical Risk Register (Session 5, Activity 5).</w:t>
      </w:r>
    </w:p>
    <w:p w14:paraId="6F1F222A" w14:textId="77777777" w:rsidR="000C01F9" w:rsidRDefault="00CF6B4E" w:rsidP="00CF6B4E">
      <w:pPr>
        <w:pBdr>
          <w:top w:val="single" w:sz="4" w:space="0" w:color="0B6E6E"/>
          <w:left w:val="single" w:sz="4" w:space="0" w:color="0B6E6E"/>
          <w:bottom w:val="single" w:sz="4" w:space="0" w:color="0B6E6E"/>
          <w:right w:val="single" w:sz="4" w:space="0" w:color="0B6E6E"/>
        </w:pBdr>
        <w:shd w:val="clear" w:color="auto" w:fill="E8F2F2"/>
        <w:spacing w:before="60" w:after="40" w:line="276" w:lineRule="auto"/>
        <w:rPr>
          <w:rFonts w:ascii="Aptos" w:hAnsi="Aptos"/>
        </w:rPr>
      </w:pPr>
      <w:r w:rsidRPr="00386139">
        <w:rPr>
          <w:rFonts w:ascii="Arial" w:hAnsi="Arial"/>
          <w:sz w:val="18"/>
        </w:rPr>
        <w:t xml:space="preserve">Worked hints for the flood-warning scenario: </w:t>
      </w:r>
    </w:p>
    <w:p w14:paraId="6305F43E" w14:textId="77777777" w:rsidR="000C01F9" w:rsidRDefault="00CF6B4E" w:rsidP="000C01F9">
      <w:pPr>
        <w:pBdr>
          <w:top w:val="single" w:sz="4" w:space="0" w:color="0B6E6E"/>
          <w:left w:val="single" w:sz="4" w:space="0" w:color="0B6E6E"/>
          <w:bottom w:val="single" w:sz="4" w:space="0" w:color="0B6E6E"/>
          <w:right w:val="single" w:sz="4" w:space="0" w:color="0B6E6E"/>
        </w:pBdr>
        <w:shd w:val="clear" w:color="auto" w:fill="E8F2F2"/>
        <w:spacing w:before="60" w:line="276" w:lineRule="auto" w:after="40"/>
        <w:rPr>
          <w:rFonts w:ascii="Aptos" w:hAnsi="Aptos"/>
        </w:rPr>
      </w:pPr>
      <w:r w:rsidRPr="00386139">
        <w:rPr>
          <w:rFonts w:ascii="Arial" w:hAnsi="Arial"/>
          <w:sz w:val="18"/>
        </w:rPr>
        <w:t xml:space="preserve">Fairness — is accuracy tested in low-gauge areas (Yellow if unknown)? </w:t>
      </w:r>
    </w:p>
    <w:p w14:paraId="71814D94" w14:textId="77777777" w:rsidR="000C01F9" w:rsidRDefault="00CF6B4E" w:rsidP="000C01F9">
      <w:pPr>
        <w:pBdr>
          <w:top w:val="single" w:sz="4" w:space="0" w:color="0B6E6E"/>
          <w:left w:val="single" w:sz="4" w:space="0" w:color="0B6E6E"/>
          <w:bottom w:val="single" w:sz="4" w:space="0" w:color="0B6E6E"/>
          <w:right w:val="single" w:sz="4" w:space="0" w:color="0B6E6E"/>
        </w:pBdr>
        <w:shd w:val="clear" w:color="auto" w:fill="E8F2F2"/>
        <w:spacing w:before="60" w:line="276" w:lineRule="auto" w:after="40"/>
        <w:rPr>
          <w:rFonts w:ascii="Aptos" w:hAnsi="Aptos"/>
        </w:rPr>
      </w:pPr>
      <w:r w:rsidRPr="00386139">
        <w:rPr>
          <w:rFonts w:ascii="Arial" w:hAnsi="Arial"/>
          <w:sz w:val="18"/>
        </w:rPr>
        <w:t xml:space="preserve">Privacy — does it store exact household coordinates it doesn’t need (Red if yes)? </w:t>
      </w:r>
    </w:p>
    <w:p w14:paraId="32BBBB3E" w14:textId="77777777" w:rsidR="000C01F9" w:rsidRDefault="00CF6B4E" w:rsidP="000C01F9">
      <w:pPr>
        <w:pBdr>
          <w:top w:val="single" w:sz="4" w:space="0" w:color="0B6E6E"/>
          <w:left w:val="single" w:sz="4" w:space="0" w:color="0B6E6E"/>
          <w:bottom w:val="single" w:sz="4" w:space="0" w:color="0B6E6E"/>
          <w:right w:val="single" w:sz="4" w:space="0" w:color="0B6E6E"/>
        </w:pBdr>
        <w:shd w:val="clear" w:color="auto" w:fill="E8F2F2"/>
        <w:spacing w:before="60" w:line="276" w:lineRule="auto" w:after="40"/>
        <w:rPr>
          <w:rFonts w:ascii="Aptos" w:hAnsi="Aptos"/>
        </w:rPr>
      </w:pPr>
      <w:r w:rsidRPr="00386139">
        <w:rPr>
          <w:rFonts w:ascii="Arial" w:hAnsi="Arial"/>
          <w:sz w:val="18"/>
        </w:rPr>
        <w:t xml:space="preserve">Transparency — do alerts explain themselves (Yellow if just a score)? </w:t>
      </w:r>
    </w:p>
    <w:p w14:paraId="30207AE1" w14:textId="77777777" w:rsidR="000C01F9" w:rsidRDefault="00CF6B4E" w:rsidP="000C01F9">
      <w:pPr>
        <w:pBdr>
          <w:top w:val="single" w:sz="4" w:space="0" w:color="0B6E6E"/>
          <w:left w:val="single" w:sz="4" w:space="0" w:color="0B6E6E"/>
          <w:bottom w:val="single" w:sz="4" w:space="0" w:color="0B6E6E"/>
          <w:right w:val="single" w:sz="4" w:space="0" w:color="0B6E6E"/>
        </w:pBdr>
        <w:shd w:val="clear" w:color="auto" w:fill="E8F2F2"/>
        <w:spacing w:before="60" w:line="276" w:lineRule="auto" w:after="40"/>
        <w:rPr>
          <w:rFonts w:ascii="Aptos" w:hAnsi="Aptos"/>
        </w:rPr>
      </w:pPr>
      <w:r w:rsidRPr="00386139">
        <w:rPr>
          <w:rFonts w:ascii="Arial" w:hAnsi="Arial"/>
          <w:sz w:val="18"/>
        </w:rPr>
        <w:t xml:space="preserve">Accountability — is anyone named (Red if no)? </w:t>
      </w:r>
    </w:p>
    <w:p w14:paraId="2C7929B5" w14:textId="77777777" w:rsidR="000C01F9" w:rsidRDefault="00CF6B4E" w:rsidP="000C01F9">
      <w:pPr>
        <w:pBdr>
          <w:top w:val="single" w:sz="4" w:space="0" w:color="0B6E6E"/>
          <w:left w:val="single" w:sz="4" w:space="0" w:color="0B6E6E"/>
          <w:bottom w:val="single" w:sz="4" w:space="0" w:color="0B6E6E"/>
          <w:right w:val="single" w:sz="4" w:space="0" w:color="0B6E6E"/>
        </w:pBdr>
        <w:shd w:val="clear" w:color="auto" w:fill="E8F2F2"/>
        <w:spacing w:before="60" w:line="276" w:lineRule="auto" w:after="40"/>
        <w:rPr>
          <w:rFonts w:ascii="Aptos" w:hAnsi="Aptos"/>
        </w:rPr>
      </w:pPr>
      <w:r w:rsidRPr="00386139">
        <w:rPr>
          <w:rFonts w:ascii="Arial" w:hAnsi="Arial"/>
          <w:sz w:val="18"/>
        </w:rPr>
        <w:t xml:space="preserve">Safety — does it show confidence (Yellow if silent)? </w:t>
      </w:r>
    </w:p>
    <w:p w14:paraId="5CFC9F47" w14:textId="77777777" w:rsidR="000C01F9" w:rsidRDefault="00CF6B4E" w:rsidP="000C01F9">
      <w:pPr>
        <w:pBdr>
          <w:top w:val="single" w:sz="4" w:space="0" w:color="0B6E6E"/>
          <w:left w:val="single" w:sz="4" w:space="0" w:color="0B6E6E"/>
          <w:bottom w:val="single" w:sz="4" w:space="0" w:color="0B6E6E"/>
          <w:right w:val="single" w:sz="4" w:space="0" w:color="0B6E6E"/>
        </w:pBdr>
        <w:shd w:val="clear" w:color="auto" w:fill="E8F2F2"/>
        <w:spacing w:before="60" w:line="276" w:lineRule="auto" w:after="40"/>
        <w:rPr>
          <w:rFonts w:ascii="Aptos" w:hAnsi="Aptos"/>
        </w:rPr>
      </w:pPr>
      <w:r w:rsidRPr="00386139">
        <w:rPr>
          <w:rFonts w:ascii="Arial" w:hAnsi="Arial"/>
          <w:sz w:val="18"/>
        </w:rPr>
        <w:t xml:space="preserve">Sustainability — is the model right-sized (usually Green for a small model)? </w:t>
      </w:r>
    </w:p>
    <w:p w14:paraId="71172A67" w14:textId="3F41DE5E" w:rsidR="00CF6B4E" w:rsidRPr="00386139" w:rsidRDefault="00CF6B4E" w:rsidP="000C01F9">
      <w:pPr>
        <w:pBdr>
          <w:top w:val="single" w:sz="4" w:space="0" w:color="0B6E6E"/>
          <w:left w:val="single" w:sz="4" w:space="0" w:color="0B6E6E"/>
          <w:bottom w:val="single" w:sz="4" w:space="0" w:color="0B6E6E"/>
          <w:right w:val="single" w:sz="4" w:space="0" w:color="0B6E6E"/>
        </w:pBdr>
        <w:shd w:val="clear" w:color="auto" w:fill="E8F2F2"/>
        <w:spacing w:before="60" w:line="276" w:lineRule="auto" w:after="40"/>
        <w:rPr>
          <w:rFonts w:ascii="Aptos" w:hAnsi="Aptos"/>
        </w:rPr>
      </w:pPr>
      <w:r w:rsidRPr="00386139">
        <w:rPr>
          <w:rFonts w:ascii="Arial" w:hAnsi="Arial"/>
          <w:sz w:val="18"/>
        </w:rPr>
        <w:t>Human Oversight — can residents report a missed flood (Green if yes)?</w:t>
      </w:r>
    </w:p>
    <w:p w14:paraId="088286AA" w14:textId="77777777" w:rsidR="00CF6B4E" w:rsidRPr="00386139" w:rsidRDefault="00CF6B4E">
      <w:pPr>
        <w:rPr>
          <w:rFonts w:ascii="Aptos" w:hAnsi="Aptos"/>
          <w:lang w:val="en-US"/>
        </w:rPr>
      </w:pPr>
    </w:p>
    <w:p>
      <w:r>
        <w:br w:type="page"/>
      </w:r>
    </w:p>
    <w:p>
      <w:pPr>
        <w:spacing w:before="240" w:after="160"/>
      </w:pPr>
      <w:r>
        <w:rPr>
          <w:rFonts w:ascii="Arial" w:hAnsi="Arial"/>
          <w:b/>
          <w:color w:val="0F172A"/>
          <w:sz w:val="28"/>
        </w:rPr>
        <w:t>OVERALL DEPLOYMENT RECOMMENDATION &amp; CONCLUSION</w:t>
      </w:r>
    </w:p>
    <w:p>
      <w:pPr>
        <w:spacing w:after="200"/>
      </w:pPr>
      <w:r>
        <w:rPr>
          <w:rFonts w:ascii="Arial" w:hAnsi="Arial"/>
          <w:b/>
          <w:color w:val="0F172A"/>
          <w:sz w:val="24"/>
        </w:rPr>
        <w:t xml:space="preserve">FINAL AUDIT VERDICT: </w:t>
      </w:r>
      <w:r>
        <w:rPr>
          <w:rFonts w:ascii="Arial" w:hAnsi="Arial"/>
          <w:b/>
          <w:color w:val="B45309"/>
          <w:sz w:val="24"/>
        </w:rPr>
        <w:t>PROCEED SUBJECT TO SPECIFIED CONDITIONS (Conditioned Approval)</w:t>
      </w:r>
    </w:p>
    <w:p>
      <w:pPr>
        <w:spacing w:after="160" w:line="276" w:lineRule="auto"/>
      </w:pPr>
      <w:r>
        <w:rPr>
          <w:rFonts w:ascii="Arial" w:hAnsi="Arial"/>
          <w:color w:val="334155"/>
          <w:sz w:val="20"/>
        </w:rPr>
        <w:t>Executive Summary &amp; Decision Rationale:</w:t>
        <w:br/>
        <w:t>The proposed AI-Based Flood Early Warning System exhibits significant potential value for public safety, disaster preparedness, and rapid emergency response. However, full regional deployment must NOT proceed in its current un-mitigated state due to two (2) critical RED high-risk dimensions (Privacy and Accountability) and three (3) YELLOW dimensions (Fairness, Transparency, and Safety &amp; Reliability).</w:t>
      </w:r>
    </w:p>
    <w:p>
      <w:pPr>
        <w:spacing w:after="80"/>
      </w:pPr>
      <w:r>
        <w:rPr>
          <w:rFonts w:ascii="Arial" w:hAnsi="Arial"/>
          <w:b/>
          <w:color w:val="1E3A8A"/>
          <w:sz w:val="21"/>
        </w:rPr>
        <w:t>Mandatory Pre-Deployment Conditions (Prerequisites for Pilot Launch):</w:t>
      </w:r>
    </w:p>
    <w:p>
      <w:pPr>
        <w:spacing w:after="80" w:line="269" w:lineRule="auto"/>
      </w:pPr>
      <w:r>
        <w:rPr>
          <w:rFonts w:ascii="Arial" w:hAnsi="Arial"/>
          <w:b/>
          <w:color w:val="1E3A8A"/>
          <w:sz w:val="19"/>
        </w:rPr>
        <w:t xml:space="preserve">• 1. Privacy Remediation (RED Risk): </w:t>
      </w:r>
      <w:r>
        <w:rPr>
          <w:rFonts w:ascii="Arial" w:hAnsi="Arial"/>
          <w:b w:val="0"/>
          <w:color w:val="1E293B"/>
          <w:sz w:val="19"/>
        </w:rPr>
        <w:t>Eliminate central storage of raw household GPS coordinates and unencrypted PII. Enforce spatial k-anonymity (250m H3 hex grid aggregation) and complete an independent Privacy Impact Assessment (PIA).</w:t>
      </w:r>
    </w:p>
    <w:p>
      <w:pPr>
        <w:spacing w:after="80" w:line="269" w:lineRule="auto"/>
      </w:pPr>
      <w:r>
        <w:rPr>
          <w:rFonts w:ascii="Arial" w:hAnsi="Arial"/>
          <w:b/>
          <w:color w:val="1E3A8A"/>
          <w:sz w:val="19"/>
        </w:rPr>
        <w:t xml:space="preserve">• 2. Legal Accountability Framework (RED Risk): </w:t>
      </w:r>
      <w:r>
        <w:rPr>
          <w:rFonts w:ascii="Arial" w:hAnsi="Arial"/>
          <w:b w:val="0"/>
          <w:color w:val="1E293B"/>
          <w:sz w:val="19"/>
        </w:rPr>
        <w:t>Ratify an Inter-Agency Memorandum of Understanding (MoU) formally declaring that the AI operates strictly as decision support, while human Civil Defense Directors retain sole legal evacuation authority. Establish an immutable audit logging pipeline.</w:t>
      </w:r>
    </w:p>
    <w:p>
      <w:pPr>
        <w:spacing w:after="80" w:line="269" w:lineRule="auto"/>
      </w:pPr>
      <w:r>
        <w:rPr>
          <w:rFonts w:ascii="Arial" w:hAnsi="Arial"/>
          <w:b/>
          <w:color w:val="1E3A8A"/>
          <w:sz w:val="19"/>
        </w:rPr>
        <w:t xml:space="preserve">• 3. Safety &amp; Fallback Controls (YELLOW Risk): </w:t>
      </w:r>
      <w:r>
        <w:rPr>
          <w:rFonts w:ascii="Arial" w:hAnsi="Arial"/>
          <w:b w:val="0"/>
          <w:color w:val="1E293B"/>
          <w:sz w:val="19"/>
        </w:rPr>
        <w:t>Implement real-time sensor sanity monitors and an automated fail-safe fallback to physics-based hydrological models (HEC-RAS) when ML uncertainty is high.</w:t>
      </w:r>
    </w:p>
    <w:p>
      <w:pPr>
        <w:spacing w:after="80" w:line="269" w:lineRule="auto"/>
      </w:pPr>
      <w:r>
        <w:rPr>
          <w:rFonts w:ascii="Arial" w:hAnsi="Arial"/>
          <w:b/>
          <w:color w:val="1E3A8A"/>
          <w:sz w:val="19"/>
        </w:rPr>
        <w:t xml:space="preserve">• 4. Spatial Fairness Integration (YELLOW Risk): </w:t>
      </w:r>
      <w:r>
        <w:rPr>
          <w:rFonts w:ascii="Arial" w:hAnsi="Arial"/>
          <w:b w:val="0"/>
          <w:color w:val="1E293B"/>
          <w:sz w:val="19"/>
        </w:rPr>
        <w:t>Supplement sparse rural stream gauge telemetries with Sentinel-1 SAR satellite water masks and low-cost IoT gauges to eliminate urban-rural accuracy disparities.</w:t>
      </w:r>
    </w:p>
    <w:p>
      <w:pPr>
        <w:spacing w:after="80" w:line="269" w:lineRule="auto"/>
      </w:pPr>
      <w:r>
        <w:rPr>
          <w:rFonts w:ascii="Arial" w:hAnsi="Arial"/>
          <w:b/>
          <w:color w:val="1E3A8A"/>
          <w:sz w:val="19"/>
        </w:rPr>
        <w:t xml:space="preserve">• 5. Phased Pilot Rollout (90-Day Controlled Pilot): </w:t>
      </w:r>
      <w:r>
        <w:rPr>
          <w:rFonts w:ascii="Arial" w:hAnsi="Arial"/>
          <w:b w:val="0"/>
          <w:color w:val="1E293B"/>
          <w:sz w:val="19"/>
        </w:rPr>
        <w:t>Deploy the system exclusively as a limited 90-day pilot within a single controlled river basin (e.g., Selangor River catchment) under active human-in-the-loop validation before national expansion.</w:t>
      </w:r>
    </w:p>
    <w:p>
      <w:pPr>
        <w:spacing w:before="320"/>
      </w:pPr>
      <w:r>
        <w:rPr>
          <w:rFonts w:ascii="Arial" w:hAnsi="Arial"/>
          <w:i/>
          <w:color w:val="475569"/>
          <w:sz w:val="19"/>
        </w:rPr>
        <w:t>Ethics Audit Conducted By:</w:t>
        <w:br/>
        <w:t>Muhammad Ashraf (Participant Ref: MY-411)</w:t>
        <w:br/>
        <w:t>Lead GeoAI Ethics Auditor &amp; Systems Reviewer</w:t>
        <w:br/>
        <w:t>ASEAN GeoAI Fusion 2026 Hackathon</w:t>
      </w:r>
    </w:p>
    <w:sectPr w:rsidR="00CF6B4E" w:rsidRPr="00386139" w:rsidSect="000C01F9">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16F37"/>
    <w:multiLevelType w:val="hybridMultilevel"/>
    <w:tmpl w:val="E10667FC"/>
    <w:lvl w:ilvl="0" w:tplc="CC7EB9DC">
      <w:start w:val="1"/>
      <w:numFmt w:val="bullet"/>
      <w:lvlText w:val="•"/>
      <w:lvlJc w:val="left"/>
      <w:pPr>
        <w:ind w:left="340" w:hanging="200"/>
      </w:pPr>
    </w:lvl>
    <w:lvl w:ilvl="1" w:tplc="E30E3C2C">
      <w:start w:val="1"/>
      <w:numFmt w:val="bullet"/>
      <w:lvlText w:val="◦"/>
      <w:lvlJc w:val="left"/>
      <w:pPr>
        <w:ind w:left="640" w:hanging="200"/>
      </w:pPr>
    </w:lvl>
    <w:lvl w:ilvl="2" w:tplc="EE467EE4">
      <w:numFmt w:val="decimal"/>
      <w:lvlText w:val=""/>
      <w:lvlJc w:val="left"/>
    </w:lvl>
    <w:lvl w:ilvl="3" w:tplc="6972BE8C">
      <w:numFmt w:val="decimal"/>
      <w:lvlText w:val=""/>
      <w:lvlJc w:val="left"/>
    </w:lvl>
    <w:lvl w:ilvl="4" w:tplc="BBEE1CB2">
      <w:numFmt w:val="decimal"/>
      <w:lvlText w:val=""/>
      <w:lvlJc w:val="left"/>
    </w:lvl>
    <w:lvl w:ilvl="5" w:tplc="1D246A32">
      <w:numFmt w:val="decimal"/>
      <w:lvlText w:val=""/>
      <w:lvlJc w:val="left"/>
    </w:lvl>
    <w:lvl w:ilvl="6" w:tplc="6C742C60">
      <w:numFmt w:val="decimal"/>
      <w:lvlText w:val=""/>
      <w:lvlJc w:val="left"/>
    </w:lvl>
    <w:lvl w:ilvl="7" w:tplc="B1E05856">
      <w:numFmt w:val="decimal"/>
      <w:lvlText w:val=""/>
      <w:lvlJc w:val="left"/>
    </w:lvl>
    <w:lvl w:ilvl="8" w:tplc="41A4BF5C">
      <w:numFmt w:val="decimal"/>
      <w:lvlText w:val=""/>
      <w:lvlJc w:val="left"/>
    </w:lvl>
  </w:abstractNum>
  <w:abstractNum w:abstractNumId="1" w15:restartNumberingAfterBreak="0">
    <w:nsid w:val="60E6107D"/>
    <w:multiLevelType w:val="multilevel"/>
    <w:tmpl w:val="D87248DC"/>
    <w:lvl w:ilvl="0">
      <w:start w:val="1"/>
      <w:numFmt w:val="decimal"/>
      <w:lvlText w:val="%1."/>
      <w:lvlJc w:val="left"/>
      <w:pPr>
        <w:ind w:left="360" w:hanging="360"/>
      </w:pPr>
      <w:rPr>
        <w:rFonts w:ascii="Aptos" w:hAnsi="Aptos" w:hint="default"/>
        <w:b/>
        <w:i w:val="0"/>
        <w:sz w:val="24"/>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6D412B59"/>
    <w:multiLevelType w:val="multilevel"/>
    <w:tmpl w:val="709A36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AS3rdHeading"/>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33386288">
    <w:abstractNumId w:val="1"/>
  </w:num>
  <w:num w:numId="2" w16cid:durableId="1623413222">
    <w:abstractNumId w:val="2"/>
  </w:num>
  <w:num w:numId="3" w16cid:durableId="1899389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4E"/>
    <w:rsid w:val="00012A52"/>
    <w:rsid w:val="00020D08"/>
    <w:rsid w:val="000427E2"/>
    <w:rsid w:val="00064E51"/>
    <w:rsid w:val="000751A7"/>
    <w:rsid w:val="00075C6F"/>
    <w:rsid w:val="000B326B"/>
    <w:rsid w:val="000C01F9"/>
    <w:rsid w:val="00107A61"/>
    <w:rsid w:val="00115D09"/>
    <w:rsid w:val="00150FE7"/>
    <w:rsid w:val="00195CCC"/>
    <w:rsid w:val="002011C3"/>
    <w:rsid w:val="00240579"/>
    <w:rsid w:val="002470EF"/>
    <w:rsid w:val="00386139"/>
    <w:rsid w:val="003E7AD7"/>
    <w:rsid w:val="00427231"/>
    <w:rsid w:val="00592438"/>
    <w:rsid w:val="00656015"/>
    <w:rsid w:val="00697679"/>
    <w:rsid w:val="006C2DAA"/>
    <w:rsid w:val="007E799B"/>
    <w:rsid w:val="00855B67"/>
    <w:rsid w:val="0088128B"/>
    <w:rsid w:val="008C7FC2"/>
    <w:rsid w:val="008E4A2C"/>
    <w:rsid w:val="00900AEC"/>
    <w:rsid w:val="00956D3A"/>
    <w:rsid w:val="00985B98"/>
    <w:rsid w:val="00A07A1F"/>
    <w:rsid w:val="00AA6B25"/>
    <w:rsid w:val="00AA6E07"/>
    <w:rsid w:val="00B9116B"/>
    <w:rsid w:val="00BF6EAE"/>
    <w:rsid w:val="00C71D98"/>
    <w:rsid w:val="00C839D3"/>
    <w:rsid w:val="00CF6B4E"/>
    <w:rsid w:val="00D25C5A"/>
    <w:rsid w:val="00D31799"/>
    <w:rsid w:val="00D7270D"/>
    <w:rsid w:val="00E12785"/>
    <w:rsid w:val="00E24FAE"/>
    <w:rsid w:val="00E83F7C"/>
    <w:rsid w:val="00ED166C"/>
    <w:rsid w:val="00F9092A"/>
    <w:rsid w:val="00F92F7E"/>
    <w:rsid w:val="00FB783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A9C0"/>
  <w15:chartTrackingRefBased/>
  <w15:docId w15:val="{8F4A6931-0514-4541-926A-F48C79AB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B4E"/>
    <w:pPr>
      <w:spacing w:after="0" w:line="240" w:lineRule="auto"/>
    </w:pPr>
    <w:rPr>
      <w:rFonts w:ascii="Calibri" w:eastAsia="Calibri" w:hAnsi="Calibri" w:cs="Calibri"/>
      <w:color w:val="2B2B2B"/>
      <w:kern w:val="0"/>
      <w:sz w:val="21"/>
      <w:szCs w:val="21"/>
      <w:lang w:eastAsia="en-MY"/>
    </w:rPr>
  </w:style>
  <w:style w:type="paragraph" w:styleId="Heading1">
    <w:name w:val="heading 1"/>
    <w:basedOn w:val="Normal"/>
    <w:next w:val="Normal"/>
    <w:link w:val="Heading1Char"/>
    <w:uiPriority w:val="9"/>
    <w:qFormat/>
    <w:rsid w:val="00CF6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B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B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B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B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3rdHeading">
    <w:name w:val="NAS 3rd Heading"/>
    <w:basedOn w:val="Normal"/>
    <w:next w:val="Heading3"/>
    <w:link w:val="NAS3rdHeadingChar"/>
    <w:qFormat/>
    <w:rsid w:val="00956D3A"/>
    <w:pPr>
      <w:keepNext/>
      <w:keepLines/>
      <w:numPr>
        <w:ilvl w:val="2"/>
        <w:numId w:val="2"/>
      </w:numPr>
      <w:spacing w:after="120" w:line="360" w:lineRule="auto"/>
      <w:ind w:left="720"/>
      <w:contextualSpacing/>
      <w:jc w:val="both"/>
      <w:outlineLvl w:val="2"/>
    </w:pPr>
    <w:rPr>
      <w:rFonts w:ascii="Aptos" w:eastAsiaTheme="majorEastAsia" w:hAnsi="Aptos" w:cstheme="majorBidi"/>
      <w:b/>
      <w:color w:val="000000" w:themeColor="text1"/>
      <w:sz w:val="24"/>
      <w:szCs w:val="28"/>
    </w:rPr>
  </w:style>
  <w:style w:type="character" w:customStyle="1" w:styleId="NAS3rdHeadingChar">
    <w:name w:val="NAS 3rd Heading Char"/>
    <w:basedOn w:val="DefaultParagraphFont"/>
    <w:link w:val="NAS3rdHeading"/>
    <w:rsid w:val="00956D3A"/>
    <w:rPr>
      <w:rFonts w:ascii="Aptos" w:eastAsiaTheme="majorEastAsia" w:hAnsi="Aptos" w:cstheme="majorBidi"/>
      <w:b/>
      <w:color w:val="000000" w:themeColor="text1"/>
      <w:sz w:val="24"/>
      <w:szCs w:val="28"/>
    </w:rPr>
  </w:style>
  <w:style w:type="character" w:customStyle="1" w:styleId="Heading3Char">
    <w:name w:val="Heading 3 Char"/>
    <w:basedOn w:val="DefaultParagraphFont"/>
    <w:link w:val="Heading3"/>
    <w:uiPriority w:val="9"/>
    <w:semiHidden/>
    <w:rsid w:val="00956D3A"/>
    <w:rPr>
      <w:rFonts w:eastAsiaTheme="majorEastAsia" w:cstheme="majorBidi"/>
      <w:color w:val="2F5496" w:themeColor="accent1" w:themeShade="BF"/>
      <w:sz w:val="28"/>
      <w:szCs w:val="28"/>
    </w:rPr>
  </w:style>
  <w:style w:type="character" w:customStyle="1" w:styleId="Heading1Char">
    <w:name w:val="Heading 1 Char"/>
    <w:basedOn w:val="DefaultParagraphFont"/>
    <w:link w:val="Heading1"/>
    <w:uiPriority w:val="9"/>
    <w:rsid w:val="00CF6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B4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F6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B4E"/>
    <w:rPr>
      <w:rFonts w:eastAsiaTheme="majorEastAsia" w:cstheme="majorBidi"/>
      <w:color w:val="272727" w:themeColor="text1" w:themeTint="D8"/>
    </w:rPr>
  </w:style>
  <w:style w:type="paragraph" w:styleId="Title">
    <w:name w:val="Title"/>
    <w:basedOn w:val="Normal"/>
    <w:next w:val="Normal"/>
    <w:link w:val="TitleChar"/>
    <w:uiPriority w:val="10"/>
    <w:qFormat/>
    <w:rsid w:val="00CF6B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B4E"/>
    <w:pPr>
      <w:spacing w:before="160"/>
      <w:jc w:val="center"/>
    </w:pPr>
    <w:rPr>
      <w:i/>
      <w:iCs/>
      <w:color w:val="404040" w:themeColor="text1" w:themeTint="BF"/>
    </w:rPr>
  </w:style>
  <w:style w:type="character" w:customStyle="1" w:styleId="QuoteChar">
    <w:name w:val="Quote Char"/>
    <w:basedOn w:val="DefaultParagraphFont"/>
    <w:link w:val="Quote"/>
    <w:uiPriority w:val="29"/>
    <w:rsid w:val="00CF6B4E"/>
    <w:rPr>
      <w:i/>
      <w:iCs/>
      <w:color w:val="404040" w:themeColor="text1" w:themeTint="BF"/>
    </w:rPr>
  </w:style>
  <w:style w:type="paragraph" w:styleId="ListParagraph">
    <w:name w:val="List Paragraph"/>
    <w:basedOn w:val="Normal"/>
    <w:qFormat/>
    <w:rsid w:val="00CF6B4E"/>
    <w:pPr>
      <w:ind w:left="720"/>
      <w:contextualSpacing/>
    </w:pPr>
  </w:style>
  <w:style w:type="character" w:styleId="IntenseEmphasis">
    <w:name w:val="Intense Emphasis"/>
    <w:basedOn w:val="DefaultParagraphFont"/>
    <w:uiPriority w:val="21"/>
    <w:qFormat/>
    <w:rsid w:val="00CF6B4E"/>
    <w:rPr>
      <w:i/>
      <w:iCs/>
      <w:color w:val="2F5496" w:themeColor="accent1" w:themeShade="BF"/>
    </w:rPr>
  </w:style>
  <w:style w:type="paragraph" w:styleId="IntenseQuote">
    <w:name w:val="Intense Quote"/>
    <w:basedOn w:val="Normal"/>
    <w:next w:val="Normal"/>
    <w:link w:val="IntenseQuoteChar"/>
    <w:uiPriority w:val="30"/>
    <w:qFormat/>
    <w:rsid w:val="00CF6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B4E"/>
    <w:rPr>
      <w:i/>
      <w:iCs/>
      <w:color w:val="2F5496" w:themeColor="accent1" w:themeShade="BF"/>
    </w:rPr>
  </w:style>
  <w:style w:type="character" w:styleId="IntenseReference">
    <w:name w:val="Intense Reference"/>
    <w:basedOn w:val="DefaultParagraphFont"/>
    <w:uiPriority w:val="32"/>
    <w:qFormat/>
    <w:rsid w:val="00CF6B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Zamir Munawir</dc:creator>
  <cp:keywords/>
  <dc:description/>
  <cp:lastModifiedBy>Zamir Munawir</cp:lastModifiedBy>
  <cp:revision>9</cp:revision>
  <dcterms:created xsi:type="dcterms:W3CDTF">2026-07-07T09:13:00Z</dcterms:created>
  <dcterms:modified xsi:type="dcterms:W3CDTF">2026-07-10T13:15:00Z</dcterms:modified>
</cp:coreProperties>
</file>