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EB5D" w14:textId="2F04F3B8" w:rsidR="00351002" w:rsidRPr="00334C3B" w:rsidRDefault="00C73223" w:rsidP="00334C3B">
      <w:pPr>
        <w:pStyle w:val="Heading4"/>
        <w:rPr>
          <w:rFonts w:ascii="Arial Narrow" w:eastAsia="Times New Roman" w:hAnsi="Arial Narrow"/>
          <w:color w:val="000000"/>
        </w:rPr>
      </w:pPr>
      <w:r>
        <w:rPr>
          <w:rFonts w:ascii="Arial Narrow" w:eastAsia="Times New Roman" w:hAnsi="Arial Narrow"/>
          <w:color w:val="000000"/>
          <w:lang w:val="en-US"/>
        </w:rPr>
        <w:t xml:space="preserve">Table 2 Summary of Findings: </w:t>
      </w:r>
      <w:r w:rsidR="00351002" w:rsidRPr="00351002">
        <w:rPr>
          <w:rFonts w:ascii="Arial Narrow" w:eastAsia="Times New Roman" w:hAnsi="Arial Narrow"/>
          <w:color w:val="000000"/>
        </w:rPr>
        <w:t xml:space="preserve">Corticosteroids compared to placebo for women with HELLP </w:t>
      </w:r>
      <w:proofErr w:type="gramStart"/>
      <w:r w:rsidR="00351002" w:rsidRPr="00351002">
        <w:rPr>
          <w:rFonts w:ascii="Arial Narrow" w:eastAsia="Times New Roman" w:hAnsi="Arial Narrow"/>
          <w:color w:val="000000"/>
        </w:rPr>
        <w:t>syndrome</w:t>
      </w:r>
      <w:proofErr w:type="gramEnd"/>
    </w:p>
    <w:p w14:paraId="1E88B0B6" w14:textId="592E4B8F" w:rsidR="00376360" w:rsidRPr="003452CA" w:rsidRDefault="00376360" w:rsidP="003452CA">
      <w:pPr>
        <w:pStyle w:val="NoSpacing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="Times New Roman"/>
        </w:rPr>
      </w:pP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925"/>
        <w:gridCol w:w="2729"/>
        <w:gridCol w:w="2144"/>
        <w:gridCol w:w="2535"/>
        <w:gridCol w:w="3120"/>
        <w:gridCol w:w="1947"/>
      </w:tblGrid>
      <w:tr w:rsidR="00121E18" w:rsidRPr="00121E18" w14:paraId="774972D4" w14:textId="77777777" w:rsidTr="00121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0158092" w14:textId="77777777" w:rsidR="00121E18" w:rsidRPr="00121E18" w:rsidRDefault="00121E18" w:rsidP="00121E18">
            <w:pPr>
              <w:pStyle w:val="NoSpacing"/>
              <w:rPr>
                <w:rFonts w:eastAsia="Times New Roman"/>
                <w:b w:val="0"/>
                <w:bCs w:val="0"/>
              </w:rPr>
            </w:pPr>
            <w:r w:rsidRPr="00121E18">
              <w:rPr>
                <w:rFonts w:eastAsia="Times New Roman"/>
                <w:b w:val="0"/>
                <w:bCs w:val="0"/>
              </w:rPr>
              <w:t>Patient or population: women with HELLP syndrome</w:t>
            </w:r>
          </w:p>
          <w:p w14:paraId="33F246CB" w14:textId="77777777" w:rsidR="00121E18" w:rsidRPr="00121E18" w:rsidRDefault="00121E18" w:rsidP="00121E18">
            <w:pPr>
              <w:pStyle w:val="NoSpacing"/>
              <w:rPr>
                <w:rFonts w:eastAsia="Times New Roman"/>
                <w:b w:val="0"/>
                <w:bCs w:val="0"/>
              </w:rPr>
            </w:pPr>
            <w:r w:rsidRPr="00121E18">
              <w:rPr>
                <w:rFonts w:eastAsia="Times New Roman"/>
                <w:b w:val="0"/>
                <w:bCs w:val="0"/>
              </w:rPr>
              <w:t>Setting: In patient</w:t>
            </w:r>
          </w:p>
          <w:p w14:paraId="7092A6D8" w14:textId="77777777" w:rsidR="00121E18" w:rsidRPr="00121E18" w:rsidRDefault="00121E18" w:rsidP="00121E18">
            <w:pPr>
              <w:pStyle w:val="NoSpacing"/>
              <w:rPr>
                <w:rFonts w:eastAsia="Times New Roman"/>
                <w:b w:val="0"/>
                <w:bCs w:val="0"/>
              </w:rPr>
            </w:pPr>
            <w:r w:rsidRPr="00121E18">
              <w:rPr>
                <w:rFonts w:eastAsia="Times New Roman"/>
                <w:b w:val="0"/>
                <w:bCs w:val="0"/>
              </w:rPr>
              <w:t>Intervention: Corticosteroids</w:t>
            </w:r>
          </w:p>
          <w:p w14:paraId="484E1A08" w14:textId="4517A926" w:rsidR="00121E18" w:rsidRPr="00121E18" w:rsidRDefault="00121E18" w:rsidP="00121E18">
            <w:pPr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121E18">
              <w:rPr>
                <w:rFonts w:eastAsia="Times New Roman"/>
                <w:b w:val="0"/>
                <w:bCs w:val="0"/>
              </w:rPr>
              <w:t>Comparison: placebo</w:t>
            </w:r>
          </w:p>
        </w:tc>
      </w:tr>
      <w:tr w:rsidR="00376360" w:rsidRPr="00013391" w14:paraId="3A4BDF74" w14:textId="77777777" w:rsidTr="0012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 w:val="restart"/>
            <w:hideMark/>
          </w:tcPr>
          <w:p w14:paraId="1C81CAAF" w14:textId="77777777" w:rsidR="00376360" w:rsidRPr="00013391" w:rsidRDefault="00376360" w:rsidP="00351002">
            <w:pPr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Outcome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№ of participants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(studies)</w:t>
            </w:r>
          </w:p>
        </w:tc>
        <w:tc>
          <w:tcPr>
            <w:tcW w:w="886" w:type="pct"/>
            <w:vMerge w:val="restart"/>
            <w:hideMark/>
          </w:tcPr>
          <w:p w14:paraId="3A49618F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Relative effect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(95% CI)</w:t>
            </w:r>
          </w:p>
        </w:tc>
        <w:tc>
          <w:tcPr>
            <w:tcW w:w="2532" w:type="pct"/>
            <w:gridSpan w:val="3"/>
            <w:hideMark/>
          </w:tcPr>
          <w:p w14:paraId="2C307774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Anticipated absolute effects (95% CI)</w:t>
            </w:r>
          </w:p>
        </w:tc>
        <w:tc>
          <w:tcPr>
            <w:tcW w:w="632" w:type="pct"/>
            <w:vMerge w:val="restart"/>
            <w:hideMark/>
          </w:tcPr>
          <w:p w14:paraId="5A636213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Certainty</w:t>
            </w:r>
          </w:p>
        </w:tc>
      </w:tr>
      <w:tr w:rsidR="00376360" w:rsidRPr="00013391" w14:paraId="34292449" w14:textId="77777777" w:rsidTr="00121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vMerge/>
            <w:hideMark/>
          </w:tcPr>
          <w:p w14:paraId="0BC83DEF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</w:p>
        </w:tc>
        <w:tc>
          <w:tcPr>
            <w:tcW w:w="886" w:type="pct"/>
            <w:vMerge/>
            <w:hideMark/>
          </w:tcPr>
          <w:p w14:paraId="1BFCB6AB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96" w:type="pct"/>
          </w:tcPr>
          <w:p w14:paraId="48F8847B" w14:textId="64FE9A76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Without Corticosteroids</w:t>
            </w:r>
          </w:p>
        </w:tc>
        <w:tc>
          <w:tcPr>
            <w:tcW w:w="823" w:type="pct"/>
            <w:hideMark/>
          </w:tcPr>
          <w:p w14:paraId="00FF2BAB" w14:textId="638821A5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With Corticosteroids</w:t>
            </w:r>
          </w:p>
        </w:tc>
        <w:tc>
          <w:tcPr>
            <w:tcW w:w="1013" w:type="pct"/>
            <w:hideMark/>
          </w:tcPr>
          <w:p w14:paraId="583AEF73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Difference</w:t>
            </w:r>
          </w:p>
        </w:tc>
        <w:tc>
          <w:tcPr>
            <w:tcW w:w="632" w:type="pct"/>
            <w:vMerge/>
            <w:hideMark/>
          </w:tcPr>
          <w:p w14:paraId="6800EEAF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 w:rsidR="00376360" w:rsidRPr="00013391" w14:paraId="473D0BE0" w14:textId="77777777" w:rsidTr="0012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2961E062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Maternal death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449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(6 RCTs)</w:t>
            </w:r>
          </w:p>
        </w:tc>
        <w:tc>
          <w:tcPr>
            <w:tcW w:w="886" w:type="pct"/>
            <w:hideMark/>
          </w:tcPr>
          <w:p w14:paraId="2AE9DD9B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0.7700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(0.2492 to 2.3799)</w:t>
            </w:r>
          </w:p>
        </w:tc>
        <w:tc>
          <w:tcPr>
            <w:tcW w:w="696" w:type="pct"/>
            <w:hideMark/>
          </w:tcPr>
          <w:p w14:paraId="68E73A27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3.1%</w:t>
            </w:r>
          </w:p>
        </w:tc>
        <w:tc>
          <w:tcPr>
            <w:tcW w:w="823" w:type="pct"/>
            <w:hideMark/>
          </w:tcPr>
          <w:p w14:paraId="09AEE8E0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2.4%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(0.8 to 7.5)</w:t>
            </w:r>
          </w:p>
        </w:tc>
        <w:tc>
          <w:tcPr>
            <w:tcW w:w="1013" w:type="pct"/>
            <w:hideMark/>
          </w:tcPr>
          <w:p w14:paraId="162892C6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0.7%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(2.4 fewer to 4.3 more)</w:t>
            </w:r>
          </w:p>
        </w:tc>
        <w:tc>
          <w:tcPr>
            <w:tcW w:w="632" w:type="pct"/>
            <w:hideMark/>
          </w:tcPr>
          <w:p w14:paraId="2D936EA7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Very 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376360" w:rsidRPr="00013391" w14:paraId="20F474CC" w14:textId="77777777" w:rsidTr="00121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0BFD78D4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Acute renal failure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406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(5 RCTs)</w:t>
            </w:r>
          </w:p>
        </w:tc>
        <w:tc>
          <w:tcPr>
            <w:tcW w:w="886" w:type="pct"/>
            <w:hideMark/>
          </w:tcPr>
          <w:p w14:paraId="16111870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0.6658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(0.3965 to 1.1179)</w:t>
            </w:r>
          </w:p>
        </w:tc>
        <w:tc>
          <w:tcPr>
            <w:tcW w:w="696" w:type="pct"/>
            <w:hideMark/>
          </w:tcPr>
          <w:p w14:paraId="28E335BD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14.4%</w:t>
            </w:r>
          </w:p>
        </w:tc>
        <w:tc>
          <w:tcPr>
            <w:tcW w:w="823" w:type="pct"/>
            <w:hideMark/>
          </w:tcPr>
          <w:p w14:paraId="2F915E37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9.6%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(5.7 to 16)</w:t>
            </w:r>
          </w:p>
        </w:tc>
        <w:tc>
          <w:tcPr>
            <w:tcW w:w="1013" w:type="pct"/>
            <w:hideMark/>
          </w:tcPr>
          <w:p w14:paraId="76D8338D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4.8%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(8.7 fewer to 1.7 more)</w:t>
            </w:r>
          </w:p>
        </w:tc>
        <w:tc>
          <w:tcPr>
            <w:tcW w:w="632" w:type="pct"/>
            <w:hideMark/>
          </w:tcPr>
          <w:p w14:paraId="5F3EA4AD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b</w:t>
            </w:r>
          </w:p>
        </w:tc>
      </w:tr>
      <w:tr w:rsidR="00376360" w:rsidRPr="00013391" w14:paraId="3FE699E0" w14:textId="77777777" w:rsidTr="0012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5D316D7B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Pulmonary edema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381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(4 RCTs)</w:t>
            </w:r>
          </w:p>
        </w:tc>
        <w:tc>
          <w:tcPr>
            <w:tcW w:w="886" w:type="pct"/>
            <w:hideMark/>
          </w:tcPr>
          <w:p w14:paraId="4C41F5F1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0.6975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(0.2323 to 2.0944)</w:t>
            </w:r>
          </w:p>
        </w:tc>
        <w:tc>
          <w:tcPr>
            <w:tcW w:w="696" w:type="pct"/>
            <w:hideMark/>
          </w:tcPr>
          <w:p w14:paraId="1984F026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4.3%</w:t>
            </w:r>
          </w:p>
        </w:tc>
        <w:tc>
          <w:tcPr>
            <w:tcW w:w="823" w:type="pct"/>
            <w:hideMark/>
          </w:tcPr>
          <w:p w14:paraId="1BFDB43A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3.0%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(1 to 8.9)</w:t>
            </w:r>
          </w:p>
        </w:tc>
        <w:tc>
          <w:tcPr>
            <w:tcW w:w="1013" w:type="pct"/>
            <w:hideMark/>
          </w:tcPr>
          <w:p w14:paraId="6EF7E76A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1.3%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(3.3 fewer to 4.7 more)</w:t>
            </w:r>
          </w:p>
        </w:tc>
        <w:tc>
          <w:tcPr>
            <w:tcW w:w="632" w:type="pct"/>
            <w:hideMark/>
          </w:tcPr>
          <w:p w14:paraId="3775BF40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Very 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376360" w:rsidRPr="00013391" w14:paraId="253329AC" w14:textId="77777777" w:rsidTr="00121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0CA9F906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Dialysis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60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(1 RCT)</w:t>
            </w:r>
          </w:p>
        </w:tc>
        <w:tc>
          <w:tcPr>
            <w:tcW w:w="886" w:type="pct"/>
            <w:hideMark/>
          </w:tcPr>
          <w:p w14:paraId="6FC31C11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3.0000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(0.1271 to 70.7833)</w:t>
            </w:r>
          </w:p>
        </w:tc>
        <w:tc>
          <w:tcPr>
            <w:tcW w:w="696" w:type="pct"/>
            <w:hideMark/>
          </w:tcPr>
          <w:p w14:paraId="2B189D8E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0.0%</w:t>
            </w:r>
          </w:p>
        </w:tc>
        <w:tc>
          <w:tcPr>
            <w:tcW w:w="823" w:type="pct"/>
            <w:hideMark/>
          </w:tcPr>
          <w:p w14:paraId="6A612148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0.0%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(0 to 0)</w:t>
            </w:r>
          </w:p>
        </w:tc>
        <w:tc>
          <w:tcPr>
            <w:tcW w:w="1013" w:type="pct"/>
            <w:hideMark/>
          </w:tcPr>
          <w:p w14:paraId="2B46B90D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0.0%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(0 fewer to 0 fewer)</w:t>
            </w:r>
          </w:p>
        </w:tc>
        <w:tc>
          <w:tcPr>
            <w:tcW w:w="632" w:type="pct"/>
            <w:hideMark/>
          </w:tcPr>
          <w:p w14:paraId="5335DECB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Very 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376360" w:rsidRPr="00013391" w14:paraId="15009C41" w14:textId="77777777" w:rsidTr="0012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36D26554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Liver morbidity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91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(2 RCTs)</w:t>
            </w:r>
          </w:p>
        </w:tc>
        <w:tc>
          <w:tcPr>
            <w:tcW w:w="886" w:type="pct"/>
            <w:hideMark/>
          </w:tcPr>
          <w:p w14:paraId="40862A0C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0.2171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(0.0258 to 1.8257)</w:t>
            </w:r>
          </w:p>
        </w:tc>
        <w:tc>
          <w:tcPr>
            <w:tcW w:w="696" w:type="pct"/>
            <w:hideMark/>
          </w:tcPr>
          <w:p w14:paraId="7607E2BA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8.7%</w:t>
            </w:r>
          </w:p>
        </w:tc>
        <w:tc>
          <w:tcPr>
            <w:tcW w:w="823" w:type="pct"/>
            <w:hideMark/>
          </w:tcPr>
          <w:p w14:paraId="2791E7A4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1.9%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(0.2 to 15.9)</w:t>
            </w:r>
          </w:p>
        </w:tc>
        <w:tc>
          <w:tcPr>
            <w:tcW w:w="1013" w:type="pct"/>
            <w:hideMark/>
          </w:tcPr>
          <w:p w14:paraId="237051FA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6.8%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(8.5 fewer to 7.2 more)</w:t>
            </w:r>
          </w:p>
        </w:tc>
        <w:tc>
          <w:tcPr>
            <w:tcW w:w="632" w:type="pct"/>
            <w:hideMark/>
          </w:tcPr>
          <w:p w14:paraId="27059DAB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Very 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376360" w:rsidRPr="00013391" w14:paraId="59B80A87" w14:textId="77777777" w:rsidTr="00121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53773152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Platelet transfusion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219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(2 RCTs)</w:t>
            </w:r>
          </w:p>
        </w:tc>
        <w:tc>
          <w:tcPr>
            <w:tcW w:w="886" w:type="pct"/>
            <w:hideMark/>
          </w:tcPr>
          <w:p w14:paraId="1EABEA1D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0.9821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(0.6031 to 1.5994)</w:t>
            </w:r>
          </w:p>
        </w:tc>
        <w:tc>
          <w:tcPr>
            <w:tcW w:w="696" w:type="pct"/>
            <w:hideMark/>
          </w:tcPr>
          <w:p w14:paraId="44410D69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22.5%</w:t>
            </w:r>
          </w:p>
        </w:tc>
        <w:tc>
          <w:tcPr>
            <w:tcW w:w="823" w:type="pct"/>
            <w:hideMark/>
          </w:tcPr>
          <w:p w14:paraId="0EAC5BCD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22.1%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(13.6 to 36)</w:t>
            </w:r>
          </w:p>
        </w:tc>
        <w:tc>
          <w:tcPr>
            <w:tcW w:w="1013" w:type="pct"/>
            <w:hideMark/>
          </w:tcPr>
          <w:p w14:paraId="054A751C" w14:textId="77777777" w:rsidR="00376360" w:rsidRPr="00013391" w:rsidRDefault="00376360" w:rsidP="00351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0.4%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(8.9 fewer to 13.5 more)</w:t>
            </w:r>
          </w:p>
        </w:tc>
        <w:tc>
          <w:tcPr>
            <w:tcW w:w="632" w:type="pct"/>
            <w:hideMark/>
          </w:tcPr>
          <w:p w14:paraId="147B580A" w14:textId="77777777" w:rsidR="00376360" w:rsidRPr="00351002" w:rsidRDefault="00376360" w:rsidP="00351002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c</w:t>
            </w:r>
          </w:p>
        </w:tc>
      </w:tr>
      <w:tr w:rsidR="00376360" w:rsidRPr="00013391" w14:paraId="26232ABA" w14:textId="77777777" w:rsidTr="00121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hideMark/>
          </w:tcPr>
          <w:p w14:paraId="0478D54F" w14:textId="77777777" w:rsidR="00376360" w:rsidRPr="00351002" w:rsidRDefault="00376360" w:rsidP="00351002">
            <w:pPr>
              <w:pStyle w:val="Heading4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Perinatal death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№ of participants: 58</w:t>
            </w:r>
            <w:r w:rsidRPr="00351002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br/>
              <w:t>(2 RCTs)</w:t>
            </w:r>
          </w:p>
        </w:tc>
        <w:tc>
          <w:tcPr>
            <w:tcW w:w="886" w:type="pct"/>
            <w:hideMark/>
          </w:tcPr>
          <w:p w14:paraId="2A9BD945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t>RR 0.6372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(0.2062 to 1.9693)</w:t>
            </w:r>
          </w:p>
        </w:tc>
        <w:tc>
          <w:tcPr>
            <w:tcW w:w="696" w:type="pct"/>
            <w:hideMark/>
          </w:tcPr>
          <w:p w14:paraId="37EAEDEE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23.3%</w:t>
            </w:r>
          </w:p>
        </w:tc>
        <w:tc>
          <w:tcPr>
            <w:tcW w:w="823" w:type="pct"/>
            <w:hideMark/>
          </w:tcPr>
          <w:p w14:paraId="4AB69056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14.9%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(4.8 to 46)</w:t>
            </w:r>
          </w:p>
        </w:tc>
        <w:tc>
          <w:tcPr>
            <w:tcW w:w="1013" w:type="pct"/>
            <w:hideMark/>
          </w:tcPr>
          <w:p w14:paraId="58CC1B04" w14:textId="77777777" w:rsidR="00376360" w:rsidRPr="00013391" w:rsidRDefault="00376360" w:rsidP="00351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013391">
              <w:rPr>
                <w:rFonts w:eastAsia="Times New Roman"/>
                <w:sz w:val="20"/>
                <w:szCs w:val="20"/>
              </w:rPr>
              <w:t>8.5% fewer</w:t>
            </w:r>
            <w:r w:rsidRPr="00013391">
              <w:rPr>
                <w:rFonts w:eastAsia="Times New Roman"/>
                <w:sz w:val="20"/>
                <w:szCs w:val="20"/>
              </w:rPr>
              <w:br/>
              <w:t>(18.5 fewer to 22.6 more)</w:t>
            </w:r>
          </w:p>
        </w:tc>
        <w:tc>
          <w:tcPr>
            <w:tcW w:w="632" w:type="pct"/>
            <w:hideMark/>
          </w:tcPr>
          <w:p w14:paraId="2935583F" w14:textId="77777777" w:rsidR="00376360" w:rsidRPr="00351002" w:rsidRDefault="00376360" w:rsidP="00351002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</w:pPr>
            <w:r w:rsidRPr="00351002">
              <w:rPr>
                <w:rFonts w:ascii="Cambria Math" w:eastAsia="Times New Roman" w:hAnsi="Cambria Math" w:cs="Cambria Math"/>
                <w:b w:val="0"/>
                <w:bCs w:val="0"/>
                <w:color w:val="000000"/>
                <w:sz w:val="20"/>
                <w:szCs w:val="20"/>
              </w:rPr>
              <w:t>⨁</w:t>
            </w:r>
            <w:r w:rsidRPr="00351002">
              <w:rPr>
                <w:rFonts w:ascii="Segoe UI Symbol" w:eastAsia="Times New Roman" w:hAnsi="Segoe UI Symbol" w:cs="Segoe UI Symbol"/>
                <w:b w:val="0"/>
                <w:bCs w:val="0"/>
                <w:color w:val="000000"/>
                <w:sz w:val="20"/>
                <w:szCs w:val="20"/>
              </w:rPr>
              <w:t>◯◯◯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</w:rPr>
              <w:br/>
              <w:t>Very low</w:t>
            </w:r>
            <w:r w:rsidRPr="00351002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vertAlign w:val="superscript"/>
              </w:rPr>
              <w:t>a</w:t>
            </w:r>
          </w:p>
        </w:tc>
      </w:tr>
      <w:tr w:rsidR="00121E18" w:rsidRPr="00013391" w14:paraId="751371CF" w14:textId="77777777" w:rsidTr="00121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60786D2" w14:textId="067EFC7A" w:rsidR="00121E18" w:rsidRPr="00C04EC5" w:rsidRDefault="00121E18" w:rsidP="00121E18">
            <w:pPr>
              <w:pStyle w:val="NoSpacing"/>
              <w:rPr>
                <w:rFonts w:eastAsia="Times New Roman"/>
                <w:b w:val="0"/>
                <w:bCs w:val="0"/>
                <w:sz w:val="20"/>
                <w:szCs w:val="20"/>
                <w:lang w:val="en-US"/>
              </w:rPr>
            </w:pP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t>*The risk in the intervention group (and its 95% confidence interval) is based on the assumed risk in the comparison group and the relative effect of the intervention (and its 95% CI).</w:t>
            </w: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br/>
              <w:t>CI: confidence interval; RR: risk ratio</w:t>
            </w:r>
            <w:r w:rsidR="00C04EC5">
              <w:rPr>
                <w:rFonts w:eastAsia="Times New Roman"/>
                <w:b w:val="0"/>
                <w:bCs w:val="0"/>
                <w:sz w:val="20"/>
                <w:szCs w:val="20"/>
                <w:lang w:val="en-US"/>
              </w:rPr>
              <w:t>; HELLP: Hemolysis, Elevated Liver enzymes, Low Platelets</w:t>
            </w:r>
          </w:p>
          <w:p w14:paraId="39CBE6F4" w14:textId="77777777" w:rsidR="00121E18" w:rsidRPr="003452CA" w:rsidRDefault="00121E18" w:rsidP="00121E18">
            <w:pPr>
              <w:pStyle w:val="NoSpacing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t>GRADE Working Group grades of evidence</w:t>
            </w: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br/>
              <w:t>High certainty: we are very confident that the true effect lies close to that of the estimate of the effect.</w:t>
            </w: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br/>
              <w:t>Moderate certainty: we are moderately confident in the effect estimate: the true effect is likely to be close to the estimate of the effect, but there is a possibility that it is substantially different.</w:t>
            </w: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br/>
              <w:t>Low certainty: our confidence in the effect estimate is limited: the true effect may be substantially different from the estimate of the effect.</w:t>
            </w:r>
            <w:r w:rsidRPr="003452CA">
              <w:rPr>
                <w:rFonts w:eastAsia="Times New Roman"/>
                <w:b w:val="0"/>
                <w:bCs w:val="0"/>
                <w:sz w:val="20"/>
                <w:szCs w:val="20"/>
              </w:rPr>
              <w:br/>
              <w:t>Very low certainty: we have very little confidence in the effect estimate: the true effect is likely to be substantially different from the estimate of effect.</w:t>
            </w:r>
          </w:p>
          <w:p w14:paraId="5E67EF1D" w14:textId="77777777" w:rsidR="00121E18" w:rsidRPr="003452CA" w:rsidRDefault="00121E18" w:rsidP="00121E18">
            <w:pPr>
              <w:pStyle w:val="NoSpacing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</w:pPr>
            <w:r w:rsidRPr="003452CA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  <w:t>Explanations</w:t>
            </w:r>
          </w:p>
          <w:p w14:paraId="544D0885" w14:textId="77777777" w:rsidR="00121E18" w:rsidRPr="003452CA" w:rsidRDefault="00121E18" w:rsidP="00121E18">
            <w:pPr>
              <w:pStyle w:val="NoSpacing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</w:pPr>
            <w:r w:rsidRPr="003452CA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  <w:t>a. CI is very wide and includes both large benefit and large harm. The two boundaries of CI suggest very different inferences. We rated down three levels for imprecision.</w:t>
            </w:r>
          </w:p>
          <w:p w14:paraId="2A4CC01E" w14:textId="77777777" w:rsidR="00121E18" w:rsidRPr="003452CA" w:rsidRDefault="00121E18" w:rsidP="00121E18">
            <w:pPr>
              <w:pStyle w:val="NoSpacing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</w:pPr>
            <w:r w:rsidRPr="003452CA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  <w:t>b. CI overlaps no effect and includes both large benefit and small harm. We rated down two levels for imprecision.</w:t>
            </w:r>
          </w:p>
          <w:p w14:paraId="235E55EF" w14:textId="697C9D0D" w:rsidR="00121E18" w:rsidRPr="00121E18" w:rsidRDefault="00121E18" w:rsidP="00121E18">
            <w:pPr>
              <w:pStyle w:val="NoSpacing"/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</w:pPr>
            <w:r w:rsidRPr="003452CA">
              <w:rPr>
                <w:rFonts w:ascii="Arial Narrow" w:eastAsia="Times New Roman" w:hAnsi="Arial Narrow"/>
                <w:b w:val="0"/>
                <w:bCs w:val="0"/>
                <w:color w:val="000000"/>
                <w:sz w:val="20"/>
                <w:szCs w:val="20"/>
                <w:lang w:val="en"/>
              </w:rPr>
              <w:lastRenderedPageBreak/>
              <w:t>c. The pooled estimate of the risk ratio suggests no difference and the CI includes appreciable benefit and harm.</w:t>
            </w:r>
          </w:p>
        </w:tc>
      </w:tr>
    </w:tbl>
    <w:p w14:paraId="05A5F203" w14:textId="77777777" w:rsidR="00376360" w:rsidRPr="003452CA" w:rsidRDefault="00376360" w:rsidP="00351002">
      <w:pPr>
        <w:pStyle w:val="Heading4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 Narrow" w:eastAsia="Times New Roman" w:hAnsi="Arial Narrow"/>
          <w:b w:val="0"/>
          <w:bCs w:val="0"/>
          <w:color w:val="000000"/>
          <w:sz w:val="20"/>
          <w:szCs w:val="20"/>
          <w:lang w:val="en"/>
        </w:rPr>
      </w:pPr>
    </w:p>
    <w:p w14:paraId="7F3097E4" w14:textId="35235361" w:rsidR="00C73223" w:rsidRPr="00C73223" w:rsidRDefault="00C73223" w:rsidP="003452CA">
      <w:pPr>
        <w:pStyle w:val="NoSpacing"/>
        <w:rPr>
          <w:rFonts w:ascii="Arial Narrow" w:eastAsia="Times New Roman" w:hAnsi="Arial Narrow"/>
          <w:color w:val="000000"/>
          <w:sz w:val="20"/>
          <w:szCs w:val="20"/>
          <w:lang w:val="en"/>
        </w:rPr>
      </w:pPr>
    </w:p>
    <w:sectPr w:rsidR="00C73223" w:rsidRPr="00C73223" w:rsidSect="007825FE">
      <w:pgSz w:w="16840" w:h="1190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3A"/>
    <w:rsid w:val="00013391"/>
    <w:rsid w:val="00121E18"/>
    <w:rsid w:val="00334C3B"/>
    <w:rsid w:val="003452CA"/>
    <w:rsid w:val="00351002"/>
    <w:rsid w:val="003641AD"/>
    <w:rsid w:val="00376360"/>
    <w:rsid w:val="00760B3A"/>
    <w:rsid w:val="007825FE"/>
    <w:rsid w:val="00A5528B"/>
    <w:rsid w:val="00B93781"/>
    <w:rsid w:val="00C04EC5"/>
    <w:rsid w:val="00C7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978E"/>
  <w15:docId w15:val="{507DCE95-0691-CE48-8549-45047648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paragraph" w:customStyle="1" w:styleId="sof-title">
    <w:name w:val="sof-title"/>
    <w:basedOn w:val="Normal"/>
    <w:pPr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label">
    <w:name w:val="label"/>
    <w:basedOn w:val="DefaultParagraphFont"/>
  </w:style>
  <w:style w:type="character" w:customStyle="1" w:styleId="cell">
    <w:name w:val="cell"/>
    <w:basedOn w:val="DefaultParagraphFont"/>
  </w:style>
  <w:style w:type="character" w:customStyle="1" w:styleId="block">
    <w:name w:val="block"/>
    <w:basedOn w:val="DefaultParagraphFont"/>
  </w:style>
  <w:style w:type="character" w:customStyle="1" w:styleId="cell-value">
    <w:name w:val="cell-value"/>
    <w:basedOn w:val="DefaultParagraphFont"/>
  </w:style>
  <w:style w:type="character" w:customStyle="1" w:styleId="quality-sign">
    <w:name w:val="quality-sign"/>
    <w:basedOn w:val="DefaultParagraphFont"/>
  </w:style>
  <w:style w:type="character" w:customStyle="1" w:styleId="quality-text">
    <w:name w:val="quality-text"/>
    <w:basedOn w:val="DefaultParagraphFont"/>
  </w:style>
  <w:style w:type="table" w:styleId="TableGrid">
    <w:name w:val="Table Grid"/>
    <w:basedOn w:val="TableNormal"/>
    <w:uiPriority w:val="39"/>
    <w:rsid w:val="0035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1002"/>
  </w:style>
  <w:style w:type="table" w:styleId="PlainTable2">
    <w:name w:val="Plain Table 2"/>
    <w:basedOn w:val="TableNormal"/>
    <w:uiPriority w:val="42"/>
    <w:rsid w:val="007825F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825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1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Nabhan</cp:lastModifiedBy>
  <cp:revision>13</cp:revision>
  <dcterms:created xsi:type="dcterms:W3CDTF">2023-10-01T19:40:00Z</dcterms:created>
  <dcterms:modified xsi:type="dcterms:W3CDTF">2023-10-14T11:35:00Z</dcterms:modified>
</cp:coreProperties>
</file>