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Prior Cesarean Delivery and IVF Outcome: A Case–Control Study Protocol</w:t>
      </w:r>
    </w:p>
    <w:bookmarkStart w:id="9" w:name="background-and-rationale"/>
    <w:p>
      <w:pPr>
        <w:pStyle w:val="Heading2"/>
      </w:pPr>
      <w:r>
        <w:t xml:space="preserve">Background and Rationale</w:t>
      </w:r>
    </w:p>
    <w:p>
      <w:pPr>
        <w:pStyle w:val="FirstParagraph"/>
      </w:pPr>
      <w:r>
        <w:t xml:space="preserve">In vitro fertilization (IVF) success depends depends on several factors, including the woman’s age, the cause of infertility, embryo quality, and previous reproductive history. Additionally, lifestyle factors such as body mass index and smoking can also influence success rates.</w:t>
      </w:r>
      <w:r>
        <w:t xml:space="preserve"> </w:t>
      </w:r>
      <w:r>
        <w:t xml:space="preserve">[1]</w:t>
      </w:r>
    </w:p>
    <w:p>
      <w:pPr>
        <w:pStyle w:val="BodyText"/>
      </w:pPr>
      <w:r>
        <w:t xml:space="preserve">Prior cesarean delivery (CD) may affect uterine integrity, potentially influencing implantation and pregnancy outcomes. However, evidence remains inconsistent. One recent study suggested that a previous cesarean delivery may reduce IVF outcomes after the first subsequent embryo transfer when compared with a previous vaginal delivery.</w:t>
      </w:r>
      <w:r>
        <w:t xml:space="preserve"> </w:t>
      </w:r>
      <w:r>
        <w:t xml:space="preserve">[2]</w:t>
      </w:r>
    </w:p>
    <w:p>
      <w:pPr>
        <w:pStyle w:val="BodyText"/>
      </w:pPr>
      <w:r>
        <w:t xml:space="preserve">This study aims to clarify the association between prior cesarean delivery and IVF success.</w:t>
      </w:r>
    </w:p>
    <w:bookmarkEnd w:id="9"/>
    <w:bookmarkStart w:id="10" w:name="objectives"/>
    <w:p>
      <w:pPr>
        <w:pStyle w:val="Heading2"/>
      </w:pPr>
      <w:r>
        <w:t xml:space="preserve">Objectives</w:t>
      </w:r>
    </w:p>
    <w:p>
      <w:pPr>
        <w:pStyle w:val="FirstParagraph"/>
      </w:pPr>
      <w:r>
        <w:t xml:space="preserve">The primary Objective of this study is to evaluate whether a </w:t>
      </w:r>
      <w:r>
        <w:rPr>
          <w:b/>
          <w:bCs/>
        </w:rPr>
        <w:t xml:space="preserve">history of prior cesarean delivery</w:t>
      </w:r>
      <w:r>
        <w:t xml:space="preserve"> is associated with </w:t>
      </w:r>
      <w:r>
        <w:rPr>
          <w:b/>
          <w:bCs/>
        </w:rPr>
        <w:t xml:space="preserve">IVF success</w:t>
      </w:r>
      <w:r>
        <w:t xml:space="preserve">.</w:t>
      </w:r>
    </w:p>
    <w:bookmarkEnd w:id="10"/>
    <w:bookmarkStart w:id="11" w:name="study-design"/>
    <w:p>
      <w:pPr>
        <w:pStyle w:val="Heading2"/>
      </w:pPr>
      <w:r>
        <w:t xml:space="preserve">Study Design</w:t>
      </w:r>
    </w:p>
    <w:p>
      <w:pPr>
        <w:numPr>
          <w:ilvl w:val="0"/>
          <w:numId w:val="1001"/>
        </w:numPr>
      </w:pPr>
      <w:r>
        <w:rPr>
          <w:b/>
          <w:bCs/>
        </w:rPr>
        <w:t xml:space="preserve">Design:</w:t>
      </w:r>
      <w:r>
        <w:t xml:space="preserve"> Observational, case–control study</w:t>
      </w:r>
    </w:p>
    <w:p>
      <w:pPr>
        <w:numPr>
          <w:ilvl w:val="0"/>
          <w:numId w:val="1001"/>
        </w:numPr>
      </w:pPr>
      <w:r>
        <w:rPr>
          <w:b/>
          <w:bCs/>
        </w:rPr>
        <w:t xml:space="preserve">Setting:</w:t>
      </w:r>
      <w:r>
        <w:t xml:space="preserve"> Fertility centers</w:t>
      </w:r>
    </w:p>
    <w:p>
      <w:pPr>
        <w:numPr>
          <w:ilvl w:val="0"/>
          <w:numId w:val="1001"/>
        </w:numPr>
      </w:pPr>
      <w:r>
        <w:rPr>
          <w:b/>
          <w:bCs/>
        </w:rPr>
        <w:t xml:space="preserve">Study period:</w:t>
      </w:r>
      <w:r>
        <w:t xml:space="preserve"> </w:t>
      </w:r>
    </w:p>
    <w:p>
      <w:pPr>
        <w:numPr>
          <w:ilvl w:val="1"/>
          <w:numId w:val="1002"/>
        </w:numPr>
      </w:pPr>
      <w:r>
        <w:t xml:space="preserve">Anticipated start date: August 2026</w:t>
      </w:r>
    </w:p>
    <w:p>
      <w:pPr>
        <w:numPr>
          <w:ilvl w:val="1"/>
          <w:numId w:val="1002"/>
        </w:numPr>
      </w:pPr>
      <w:r>
        <w:t xml:space="preserve">Anticipated end date: November 2026</w:t>
      </w:r>
    </w:p>
    <w:bookmarkEnd w:id="11"/>
    <w:bookmarkStart w:id="15" w:name="participants"/>
    <w:p>
      <w:pPr>
        <w:pStyle w:val="Heading2"/>
      </w:pPr>
      <w:r>
        <w:t xml:space="preserve">Participants</w:t>
      </w:r>
    </w:p>
    <w:bookmarkStart w:id="12" w:name="source-population"/>
    <w:p>
      <w:pPr>
        <w:pStyle w:val="Heading3"/>
      </w:pPr>
      <w:r>
        <w:t xml:space="preserve">Source Population</w:t>
      </w:r>
    </w:p>
    <w:p>
      <w:pPr>
        <w:pStyle w:val="FirstParagraph"/>
      </w:pPr>
      <w:r>
        <w:t xml:space="preserve">Women undergoing IVF/ICSI cycles within the study period</w:t>
      </w:r>
    </w:p>
    <w:bookmarkEnd w:id="12"/>
    <w:bookmarkStart w:id="13" w:name="inclusion-criteria"/>
    <w:p>
      <w:pPr>
        <w:pStyle w:val="Heading3"/>
      </w:pPr>
      <w:r>
        <w:t xml:space="preserve">Inclusion Criteria</w:t>
      </w:r>
    </w:p>
    <w:p>
      <w:pPr>
        <w:numPr>
          <w:ilvl w:val="0"/>
          <w:numId w:val="1003"/>
        </w:numPr>
      </w:pPr>
      <w:r>
        <w:t xml:space="preserve">Women aged 20–42 years</w:t>
      </w:r>
    </w:p>
    <w:p>
      <w:pPr>
        <w:numPr>
          <w:ilvl w:val="0"/>
          <w:numId w:val="1003"/>
        </w:numPr>
      </w:pPr>
      <w:r>
        <w:t xml:space="preserve">Undergoing IVF/ICSI with embryo transfer</w:t>
      </w:r>
    </w:p>
    <w:p>
      <w:pPr>
        <w:numPr>
          <w:ilvl w:val="0"/>
          <w:numId w:val="1003"/>
        </w:numPr>
      </w:pPr>
      <w:r>
        <w:t xml:space="preserve">History of at least one prior delivery</w:t>
      </w:r>
    </w:p>
    <w:bookmarkEnd w:id="13"/>
    <w:bookmarkStart w:id="14" w:name="exclusion-criteria"/>
    <w:p>
      <w:pPr>
        <w:pStyle w:val="Heading3"/>
      </w:pPr>
      <w:r>
        <w:t xml:space="preserve">Exclusion Criteria</w:t>
      </w:r>
    </w:p>
    <w:p>
      <w:pPr>
        <w:numPr>
          <w:ilvl w:val="0"/>
          <w:numId w:val="1004"/>
        </w:numPr>
      </w:pPr>
      <w:r>
        <w:t xml:space="preserve">Uterine anomalies (congenital malformations)</w:t>
      </w:r>
    </w:p>
    <w:p>
      <w:pPr>
        <w:numPr>
          <w:ilvl w:val="0"/>
          <w:numId w:val="1004"/>
        </w:numPr>
      </w:pPr>
      <w:r>
        <w:t xml:space="preserve">History of major uterine surgery other than cesarean namely myomectomy entering cavity</w:t>
      </w:r>
    </w:p>
    <w:p>
      <w:pPr>
        <w:numPr>
          <w:ilvl w:val="0"/>
          <w:numId w:val="1004"/>
        </w:numPr>
      </w:pPr>
      <w:r>
        <w:t xml:space="preserve">Known intrauterine pathology not treated (adhesions)</w:t>
      </w:r>
    </w:p>
    <w:p>
      <w:pPr>
        <w:numPr>
          <w:ilvl w:val="0"/>
          <w:numId w:val="1004"/>
        </w:numPr>
      </w:pPr>
      <w:r>
        <w:t xml:space="preserve">Missing key exposure/outcome data</w:t>
      </w:r>
    </w:p>
    <w:bookmarkEnd w:id="14"/>
    <w:bookmarkEnd w:id="15"/>
    <w:bookmarkStart w:id="18" w:name="case-and-control-definitions"/>
    <w:p>
      <w:pPr>
        <w:pStyle w:val="Heading2"/>
      </w:pPr>
      <w:r>
        <w:t xml:space="preserve">Case and Control Definitions</w:t>
      </w:r>
    </w:p>
    <w:bookmarkStart w:id="16" w:name="cases-successful-ivf"/>
    <w:p>
      <w:pPr>
        <w:pStyle w:val="Heading3"/>
      </w:pPr>
      <w:r>
        <w:t xml:space="preserve">Cases (Successful IVF)</w:t>
      </w:r>
    </w:p>
    <w:p>
      <w:pPr>
        <w:pStyle w:val="Compact"/>
        <w:numPr>
          <w:ilvl w:val="0"/>
          <w:numId w:val="1005"/>
        </w:numPr>
      </w:pPr>
      <w:r>
        <w:t xml:space="preserve">Women with </w:t>
      </w:r>
      <w:r>
        <w:rPr>
          <w:b/>
          <w:bCs/>
        </w:rPr>
        <w:t xml:space="preserve">clinical pregnancy</w:t>
      </w:r>
      <w:r>
        <w:t xml:space="preserve"> (defined as intrauterine gestational sac with fetal heartbeat at ~6–7 weeks)</w:t>
      </w:r>
    </w:p>
    <w:bookmarkEnd w:id="16"/>
    <w:bookmarkStart w:id="17" w:name="controls-failed-ivf"/>
    <w:p>
      <w:pPr>
        <w:pStyle w:val="Heading3"/>
      </w:pPr>
      <w:r>
        <w:t xml:space="preserve">Controls (Failed IVF)</w:t>
      </w:r>
    </w:p>
    <w:p>
      <w:pPr>
        <w:pStyle w:val="Compact"/>
        <w:numPr>
          <w:ilvl w:val="0"/>
          <w:numId w:val="1006"/>
        </w:numPr>
      </w:pPr>
      <w:r>
        <w:t xml:space="preserve">Women with </w:t>
      </w:r>
      <w:r>
        <w:rPr>
          <w:b/>
          <w:bCs/>
        </w:rPr>
        <w:t xml:space="preserve">negative pregnancy test</w:t>
      </w:r>
    </w:p>
    <w:bookmarkEnd w:id="17"/>
    <w:bookmarkEnd w:id="18"/>
    <w:bookmarkStart w:id="21" w:name="exposure-definition"/>
    <w:p>
      <w:pPr>
        <w:pStyle w:val="Heading2"/>
      </w:pPr>
      <w:r>
        <w:t xml:space="preserve">Exposure Definition</w:t>
      </w:r>
    </w:p>
    <w:bookmarkStart w:id="19" w:name="primary-exposure"/>
    <w:p>
      <w:pPr>
        <w:pStyle w:val="Heading3"/>
      </w:pPr>
      <w:r>
        <w:t xml:space="preserve">Primary Exposure</w:t>
      </w:r>
    </w:p>
    <w:p>
      <w:pPr>
        <w:pStyle w:val="Compact"/>
        <w:numPr>
          <w:ilvl w:val="0"/>
          <w:numId w:val="1007"/>
        </w:numPr>
      </w:pPr>
      <w:r>
        <w:rPr>
          <w:b/>
          <w:bCs/>
        </w:rPr>
        <w:t xml:space="preserve">History of prior cesarean delivery (Binary variable)</w:t>
      </w:r>
    </w:p>
    <w:bookmarkEnd w:id="19"/>
    <w:bookmarkStart w:id="20" w:name="exposure-categorization"/>
    <w:p>
      <w:pPr>
        <w:pStyle w:val="Heading3"/>
      </w:pPr>
      <w:r>
        <w:t xml:space="preserve">Exposure Categorization</w:t>
      </w:r>
    </w:p>
    <w:p>
      <w:pPr>
        <w:numPr>
          <w:ilvl w:val="0"/>
          <w:numId w:val="1008"/>
        </w:numPr>
      </w:pPr>
      <w:r>
        <w:t xml:space="preserve">No prior cesarean (reference group)</w:t>
      </w:r>
    </w:p>
    <w:p>
      <w:pPr>
        <w:numPr>
          <w:ilvl w:val="0"/>
          <w:numId w:val="1008"/>
        </w:numPr>
      </w:pPr>
      <w:r>
        <w:t xml:space="preserve">One prior cesarean</w:t>
      </w:r>
    </w:p>
    <w:p>
      <w:pPr>
        <w:numPr>
          <w:ilvl w:val="0"/>
          <w:numId w:val="1008"/>
        </w:numPr>
      </w:pPr>
      <w:r>
        <w:t xml:space="preserve">≥2 prior cesareans</w:t>
      </w:r>
    </w:p>
    <w:bookmarkEnd w:id="20"/>
    <w:bookmarkEnd w:id="21"/>
    <w:bookmarkStart w:id="25" w:name="potential-confounders"/>
    <w:p>
      <w:pPr>
        <w:pStyle w:val="Heading2"/>
      </w:pPr>
      <w:r>
        <w:t xml:space="preserve">Potential Confounders</w:t>
      </w:r>
    </w:p>
    <w:p>
      <w:pPr>
        <w:pStyle w:val="FirstParagraph"/>
      </w:pPr>
      <w:r>
        <w:t xml:space="preserve">Collected variables should include:</w:t>
      </w:r>
    </w:p>
    <w:bookmarkStart w:id="22" w:name="demographic-factors"/>
    <w:p>
      <w:pPr>
        <w:pStyle w:val="Heading3"/>
      </w:pPr>
      <w:r>
        <w:t xml:space="preserve">Demographic Factors</w:t>
      </w:r>
    </w:p>
    <w:p>
      <w:pPr>
        <w:numPr>
          <w:ilvl w:val="0"/>
          <w:numId w:val="1009"/>
        </w:numPr>
      </w:pPr>
      <w:r>
        <w:t xml:space="preserve">Maternal age</w:t>
      </w:r>
    </w:p>
    <w:p>
      <w:pPr>
        <w:numPr>
          <w:ilvl w:val="0"/>
          <w:numId w:val="1009"/>
        </w:numPr>
      </w:pPr>
      <w:r>
        <w:t xml:space="preserve">BMI</w:t>
      </w:r>
    </w:p>
    <w:p>
      <w:pPr>
        <w:numPr>
          <w:ilvl w:val="0"/>
          <w:numId w:val="1009"/>
        </w:numPr>
      </w:pPr>
      <w:r>
        <w:t xml:space="preserve">Smoking status</w:t>
      </w:r>
    </w:p>
    <w:bookmarkEnd w:id="22"/>
    <w:bookmarkStart w:id="23" w:name="reproductive-history"/>
    <w:p>
      <w:pPr>
        <w:pStyle w:val="Heading3"/>
      </w:pPr>
      <w:r>
        <w:t xml:space="preserve">Reproductive History</w:t>
      </w:r>
    </w:p>
    <w:p>
      <w:pPr>
        <w:numPr>
          <w:ilvl w:val="0"/>
          <w:numId w:val="1010"/>
        </w:numPr>
      </w:pPr>
      <w:r>
        <w:t xml:space="preserve">Parity</w:t>
      </w:r>
    </w:p>
    <w:p>
      <w:pPr>
        <w:numPr>
          <w:ilvl w:val="0"/>
          <w:numId w:val="1010"/>
        </w:numPr>
      </w:pPr>
      <w:r>
        <w:t xml:space="preserve">Previous vaginal deliveries</w:t>
      </w:r>
    </w:p>
    <w:p>
      <w:pPr>
        <w:numPr>
          <w:ilvl w:val="0"/>
          <w:numId w:val="1010"/>
        </w:numPr>
      </w:pPr>
      <w:r>
        <w:t xml:space="preserve">Infertility duration</w:t>
      </w:r>
    </w:p>
    <w:p>
      <w:pPr>
        <w:numPr>
          <w:ilvl w:val="0"/>
          <w:numId w:val="1010"/>
        </w:numPr>
      </w:pPr>
      <w:r>
        <w:t xml:space="preserve">Infertility cause</w:t>
      </w:r>
    </w:p>
    <w:bookmarkEnd w:id="23"/>
    <w:bookmarkStart w:id="24" w:name="ivf-cycle-characteristics"/>
    <w:p>
      <w:pPr>
        <w:pStyle w:val="Heading3"/>
      </w:pPr>
      <w:r>
        <w:t xml:space="preserve">IVF Cycle Characteristics</w:t>
      </w:r>
    </w:p>
    <w:p>
      <w:pPr>
        <w:numPr>
          <w:ilvl w:val="0"/>
          <w:numId w:val="1011"/>
        </w:numPr>
      </w:pPr>
      <w:r>
        <w:t xml:space="preserve">Type of cycle (fresh/frozen)</w:t>
      </w:r>
    </w:p>
    <w:p>
      <w:pPr>
        <w:numPr>
          <w:ilvl w:val="0"/>
          <w:numId w:val="1011"/>
        </w:numPr>
      </w:pPr>
      <w:r>
        <w:t xml:space="preserve">Embryo quality</w:t>
      </w:r>
    </w:p>
    <w:p>
      <w:pPr>
        <w:numPr>
          <w:ilvl w:val="0"/>
          <w:numId w:val="1011"/>
        </w:numPr>
      </w:pPr>
      <w:r>
        <w:t xml:space="preserve">Number of embryos transferred</w:t>
      </w:r>
    </w:p>
    <w:p>
      <w:pPr>
        <w:numPr>
          <w:ilvl w:val="0"/>
          <w:numId w:val="1011"/>
        </w:numPr>
      </w:pPr>
      <w:r>
        <w:t xml:space="preserve">Day of transfer (Day 3 vs Day 5)</w:t>
      </w:r>
    </w:p>
    <w:p>
      <w:pPr>
        <w:numPr>
          <w:ilvl w:val="0"/>
          <w:numId w:val="1011"/>
        </w:numPr>
      </w:pPr>
      <w:r>
        <w:t xml:space="preserve">Endometrial thickness</w:t>
      </w:r>
    </w:p>
    <w:p>
      <w:pPr>
        <w:numPr>
          <w:ilvl w:val="0"/>
          <w:numId w:val="1011"/>
        </w:numPr>
      </w:pPr>
      <w:r>
        <w:t xml:space="preserve">Stimulation protocol</w:t>
      </w:r>
    </w:p>
    <w:bookmarkEnd w:id="24"/>
    <w:bookmarkEnd w:id="25"/>
    <w:bookmarkStart w:id="26" w:name="sample-size-considerations"/>
    <w:p>
      <w:pPr>
        <w:pStyle w:val="Heading2"/>
      </w:pPr>
      <w:r>
        <w:t xml:space="preserve">Sample Size Considerations</w:t>
      </w:r>
    </w:p>
    <w:p>
      <w:pPr>
        <w:numPr>
          <w:ilvl w:val="0"/>
          <w:numId w:val="1012"/>
        </w:numPr>
      </w:pPr>
      <w:r>
        <w:t xml:space="preserve">Estimate based on:</w:t>
      </w:r>
    </w:p>
    <w:p>
      <w:pPr>
        <w:numPr>
          <w:ilvl w:val="1"/>
          <w:numId w:val="1013"/>
        </w:numPr>
      </w:pPr>
      <w:r>
        <w:t xml:space="preserve">expected study odds ratio: 1.8</w:t>
      </w:r>
    </w:p>
    <w:p>
      <w:pPr>
        <w:numPr>
          <w:ilvl w:val="1"/>
          <w:numId w:val="1013"/>
        </w:numPr>
      </w:pPr>
      <w:r>
        <w:t xml:space="preserve">exposure amongst the controls: 0.6</w:t>
      </w:r>
    </w:p>
    <w:p>
      <w:pPr>
        <w:numPr>
          <w:ilvl w:val="1"/>
          <w:numId w:val="1013"/>
        </w:numPr>
      </w:pPr>
      <w:r>
        <w:t xml:space="preserve">Power = 80%</w:t>
      </w:r>
    </w:p>
    <w:p>
      <w:pPr>
        <w:numPr>
          <w:ilvl w:val="1"/>
          <w:numId w:val="1013"/>
        </w:numPr>
      </w:pPr>
      <w:r>
        <w:t xml:space="preserve">Alpha = 0.05</w:t>
      </w:r>
    </w:p>
    <w:p>
      <w:pPr>
        <w:numPr>
          <w:ilvl w:val="0"/>
          <w:numId w:val="1012"/>
        </w:numPr>
      </w:pPr>
      <w:r>
        <w:t xml:space="preserve">The sample is 414 (207 cases and 207 controls).</w:t>
      </w:r>
      <w:r>
        <w:t xml:space="preserve"> </w:t>
      </w:r>
      <w:r>
        <w:t xml:space="preserve">[3]</w:t>
      </w:r>
    </w:p>
    <w:p>
      <w:pPr>
        <w:numPr>
          <w:ilvl w:val="0"/>
          <w:numId w:val="1012"/>
        </w:numPr>
      </w:pPr>
      <w:r>
        <w:t xml:space="preserve">Script using the package epiR</w:t>
      </w:r>
      <w:r>
        <w:t xml:space="preserve"> </w:t>
      </w:r>
      <w:r>
        <w:t xml:space="preserve">[4]</w:t>
      </w:r>
      <w:r>
        <w:t xml:space="preserve"> </w:t>
      </w:r>
      <w:r>
        <w:t xml:space="preserve">in R version 4.6</w:t>
      </w:r>
      <w:r>
        <w:t xml:space="preserve"> </w:t>
      </w:r>
      <w:r>
        <w:t xml:space="preserve">[5]</w:t>
      </w:r>
      <w:r>
        <w:t xml:space="preserve"> </w:t>
      </w:r>
      <w:r>
        <w:t xml:space="preserve">[epi.sscc(N = NA, OR=1.8, p1 = NA, p0=.6, n=NA, power=.8, r = 1, sided.test = 2, conf.level = 0.95, method =</w:t>
      </w:r>
      <w:r>
        <w:t xml:space="preserve"> </w:t>
      </w:r>
      <w:r>
        <w:t xml:space="preserve">“unmatched”</w:t>
      </w:r>
      <w:r>
        <w:t xml:space="preserve">)]</w:t>
      </w:r>
    </w:p>
    <w:bookmarkEnd w:id="26"/>
    <w:bookmarkStart w:id="27" w:name="data-collection"/>
    <w:p>
      <w:pPr>
        <w:pStyle w:val="Heading2"/>
      </w:pPr>
      <w:r>
        <w:t xml:space="preserve">Data Collection</w:t>
      </w:r>
    </w:p>
    <w:p>
      <w:pPr>
        <w:numPr>
          <w:ilvl w:val="0"/>
          <w:numId w:val="1014"/>
        </w:numPr>
      </w:pPr>
      <w:r>
        <w:t xml:space="preserve">Extract from electronic medical records or IVF databases</w:t>
      </w:r>
    </w:p>
    <w:p>
      <w:pPr>
        <w:numPr>
          <w:ilvl w:val="0"/>
          <w:numId w:val="1014"/>
        </w:numPr>
      </w:pPr>
      <w:r>
        <w:t xml:space="preserve">Use standardized data abstraction forms</w:t>
      </w:r>
    </w:p>
    <w:p>
      <w:pPr>
        <w:numPr>
          <w:ilvl w:val="0"/>
          <w:numId w:val="1014"/>
        </w:numPr>
      </w:pPr>
      <w:r>
        <w:t xml:space="preserve">Ensure data completeness and validation</w:t>
      </w:r>
    </w:p>
    <w:bookmarkEnd w:id="27"/>
    <w:bookmarkStart w:id="32" w:name="statistical-analysis"/>
    <w:p>
      <w:pPr>
        <w:pStyle w:val="Heading2"/>
      </w:pPr>
      <w:r>
        <w:t xml:space="preserve">Statistical Analysis</w:t>
      </w:r>
    </w:p>
    <w:p>
      <w:pPr>
        <w:pStyle w:val="FirstParagraph"/>
      </w:pPr>
      <w:r>
        <w:t xml:space="preserve">We shall use R version 4.6 to perform data analysis.</w:t>
      </w:r>
    </w:p>
    <w:bookmarkStart w:id="28" w:name="descriptive-analysis"/>
    <w:p>
      <w:pPr>
        <w:pStyle w:val="Heading3"/>
      </w:pPr>
      <w:r>
        <w:t xml:space="preserve">Descriptive Analysis</w:t>
      </w:r>
    </w:p>
    <w:p>
      <w:pPr>
        <w:numPr>
          <w:ilvl w:val="0"/>
          <w:numId w:val="1015"/>
        </w:numPr>
      </w:pPr>
      <w:r>
        <w:t xml:space="preserve">Compare baseline characteristics between cases and controls</w:t>
      </w:r>
    </w:p>
    <w:p>
      <w:pPr>
        <w:numPr>
          <w:ilvl w:val="0"/>
          <w:numId w:val="1015"/>
        </w:numPr>
      </w:pPr>
      <w:r>
        <w:t xml:space="preserve">Use:</w:t>
      </w:r>
    </w:p>
    <w:p>
      <w:pPr>
        <w:numPr>
          <w:ilvl w:val="1"/>
          <w:numId w:val="1016"/>
        </w:numPr>
      </w:pPr>
      <w:r>
        <w:t xml:space="preserve">Chi-square test for categorical variables</w:t>
      </w:r>
    </w:p>
    <w:p>
      <w:pPr>
        <w:numPr>
          <w:ilvl w:val="1"/>
          <w:numId w:val="1016"/>
        </w:numPr>
      </w:pPr>
      <w:r>
        <w:t xml:space="preserve">t-test or Mann–Whitney U for continuous variables</w:t>
      </w:r>
    </w:p>
    <w:bookmarkEnd w:id="28"/>
    <w:bookmarkStart w:id="29" w:name="main-analysis"/>
    <w:p>
      <w:pPr>
        <w:pStyle w:val="Heading3"/>
      </w:pPr>
      <w:r>
        <w:t xml:space="preserve">Main Analysis</w:t>
      </w:r>
    </w:p>
    <w:p>
      <w:pPr>
        <w:pStyle w:val="Compact"/>
        <w:numPr>
          <w:ilvl w:val="0"/>
          <w:numId w:val="1017"/>
        </w:numPr>
      </w:pPr>
      <w:r>
        <w:t xml:space="preserve">Use </w:t>
      </w:r>
      <w:r>
        <w:rPr>
          <w:b/>
          <w:bCs/>
        </w:rPr>
        <w:t xml:space="preserve">logistic regression</w:t>
      </w:r>
      <w:r>
        <w:t xml:space="preserve"> to estimate association between prior cesarean delivery and IVF success</w:t>
      </w:r>
    </w:p>
    <w:p>
      <w:pPr>
        <w:pStyle w:val="Compact"/>
        <w:numPr>
          <w:ilvl w:val="1"/>
          <w:numId w:val="1018"/>
        </w:numPr>
      </w:pPr>
      <w:r>
        <w:t xml:space="preserve">Outcome: IVF success (yes/no)</w:t>
      </w:r>
    </w:p>
    <w:p>
      <w:pPr>
        <w:pStyle w:val="Compact"/>
        <w:numPr>
          <w:ilvl w:val="1"/>
          <w:numId w:val="1018"/>
        </w:numPr>
      </w:pPr>
      <w:r>
        <w:t xml:space="preserve">Exposure: prior cesarean delivery (yes/no)</w:t>
      </w:r>
    </w:p>
    <w:p>
      <w:pPr>
        <w:pStyle w:val="Compact"/>
        <w:numPr>
          <w:ilvl w:val="0"/>
          <w:numId w:val="1017"/>
        </w:numPr>
      </w:pPr>
      <w:r>
        <w:t xml:space="preserve">Report </w:t>
      </w:r>
      <w:r>
        <w:rPr>
          <w:b/>
          <w:bCs/>
        </w:rPr>
        <w:t xml:space="preserve">Odds Ratios (ORs) with 95% Confidence Intervals (CIs)</w:t>
      </w:r>
    </w:p>
    <w:bookmarkEnd w:id="29"/>
    <w:bookmarkStart w:id="30" w:name="adjusted-analysis"/>
    <w:p>
      <w:pPr>
        <w:pStyle w:val="Heading3"/>
      </w:pPr>
      <w:r>
        <w:t xml:space="preserve">Adjusted Analysis</w:t>
      </w:r>
    </w:p>
    <w:p>
      <w:pPr>
        <w:pStyle w:val="FirstParagraph"/>
      </w:pPr>
      <w:r>
        <w:t xml:space="preserve">For the following potential confounders:</w:t>
      </w:r>
    </w:p>
    <w:p>
      <w:pPr>
        <w:numPr>
          <w:ilvl w:val="0"/>
          <w:numId w:val="1019"/>
        </w:numPr>
      </w:pPr>
      <w:r>
        <w:t xml:space="preserve">Age</w:t>
      </w:r>
    </w:p>
    <w:p>
      <w:pPr>
        <w:numPr>
          <w:ilvl w:val="0"/>
          <w:numId w:val="1019"/>
        </w:numPr>
      </w:pPr>
      <w:r>
        <w:t xml:space="preserve">BMI</w:t>
      </w:r>
    </w:p>
    <w:p>
      <w:pPr>
        <w:numPr>
          <w:ilvl w:val="0"/>
          <w:numId w:val="1019"/>
        </w:numPr>
      </w:pPr>
      <w:r>
        <w:t xml:space="preserve">Embryo quality</w:t>
      </w:r>
    </w:p>
    <w:p>
      <w:pPr>
        <w:numPr>
          <w:ilvl w:val="0"/>
          <w:numId w:val="1019"/>
        </w:numPr>
      </w:pPr>
      <w:r>
        <w:t xml:space="preserve">Number of embryos transferred</w:t>
      </w:r>
    </w:p>
    <w:p>
      <w:pPr>
        <w:numPr>
          <w:ilvl w:val="0"/>
          <w:numId w:val="1019"/>
        </w:numPr>
      </w:pPr>
      <w:r>
        <w:t xml:space="preserve">Infertility diagnosis</w:t>
      </w:r>
    </w:p>
    <w:bookmarkEnd w:id="30"/>
    <w:bookmarkStart w:id="31" w:name="subgroup-analyses"/>
    <w:p>
      <w:pPr>
        <w:pStyle w:val="Heading3"/>
      </w:pPr>
      <w:r>
        <w:t xml:space="preserve">Subgroup Analyses</w:t>
      </w:r>
    </w:p>
    <w:p>
      <w:pPr>
        <w:numPr>
          <w:ilvl w:val="0"/>
          <w:numId w:val="1020"/>
        </w:numPr>
      </w:pPr>
      <w:r>
        <w:t xml:space="preserve">by:</w:t>
      </w:r>
    </w:p>
    <w:p>
      <w:pPr>
        <w:numPr>
          <w:ilvl w:val="1"/>
          <w:numId w:val="1021"/>
        </w:numPr>
      </w:pPr>
      <w:r>
        <w:t xml:space="preserve">Fresh vs frozen cycles</w:t>
      </w:r>
    </w:p>
    <w:p>
      <w:pPr>
        <w:numPr>
          <w:ilvl w:val="1"/>
          <w:numId w:val="1021"/>
        </w:numPr>
      </w:pPr>
      <w:r>
        <w:t xml:space="preserve">Day 3 vs day 5 transfer</w:t>
      </w:r>
    </w:p>
    <w:p>
      <w:pPr>
        <w:numPr>
          <w:ilvl w:val="1"/>
          <w:numId w:val="1021"/>
        </w:numPr>
      </w:pPr>
      <w:r>
        <w:t xml:space="preserve">Age groups (&lt;35 vs ≥35)</w:t>
      </w:r>
    </w:p>
    <w:p>
      <w:pPr>
        <w:numPr>
          <w:ilvl w:val="1"/>
          <w:numId w:val="1021"/>
        </w:numPr>
      </w:pPr>
      <w:r>
        <w:t xml:space="preserve">BMI groups (lean vs overweight vs obese)</w:t>
      </w:r>
    </w:p>
    <w:bookmarkEnd w:id="31"/>
    <w:bookmarkEnd w:id="32"/>
    <w:bookmarkStart w:id="34" w:name="bias-and-limitations"/>
    <w:p>
      <w:pPr>
        <w:pStyle w:val="Heading2"/>
      </w:pPr>
      <w:r>
        <w:t xml:space="preserve">Bias and Limitations</w:t>
      </w:r>
    </w:p>
    <w:p>
      <w:pPr>
        <w:numPr>
          <w:ilvl w:val="0"/>
          <w:numId w:val="1022"/>
        </w:numPr>
      </w:pPr>
      <w:r>
        <w:rPr>
          <w:b/>
          <w:bCs/>
        </w:rPr>
        <w:t xml:space="preserve">Selection bias:</w:t>
      </w:r>
      <w:r>
        <w:t xml:space="preserve"> clinic-based population</w:t>
      </w:r>
    </w:p>
    <w:p>
      <w:pPr>
        <w:numPr>
          <w:ilvl w:val="0"/>
          <w:numId w:val="1022"/>
        </w:numPr>
      </w:pPr>
      <w:r>
        <w:rPr>
          <w:b/>
          <w:bCs/>
        </w:rPr>
        <w:t xml:space="preserve">Confounding:</w:t>
      </w:r>
      <w:r>
        <w:t xml:space="preserve"> age, infertility etiology</w:t>
      </w:r>
    </w:p>
    <w:bookmarkStart w:id="33" w:name="mitigation-strategies"/>
    <w:p>
      <w:pPr>
        <w:pStyle w:val="Heading3"/>
      </w:pPr>
      <w:r>
        <w:t xml:space="preserve">Mitigation Strategies</w:t>
      </w:r>
    </w:p>
    <w:p>
      <w:pPr>
        <w:numPr>
          <w:ilvl w:val="0"/>
          <w:numId w:val="1023"/>
        </w:numPr>
      </w:pPr>
      <w:r>
        <w:t xml:space="preserve">Use strict definitions</w:t>
      </w:r>
    </w:p>
    <w:p>
      <w:pPr>
        <w:numPr>
          <w:ilvl w:val="0"/>
          <w:numId w:val="1023"/>
        </w:numPr>
      </w:pPr>
      <w:r>
        <w:t xml:space="preserve">Adjust in multivariable models</w:t>
      </w:r>
    </w:p>
    <w:p>
      <w:pPr>
        <w:numPr>
          <w:ilvl w:val="0"/>
          <w:numId w:val="1023"/>
        </w:numPr>
      </w:pPr>
      <w:r>
        <w:t xml:space="preserve">Subgroup analyses</w:t>
      </w:r>
    </w:p>
    <w:bookmarkEnd w:id="33"/>
    <w:bookmarkEnd w:id="34"/>
    <w:bookmarkStart w:id="35" w:name="ethical-considerations"/>
    <w:p>
      <w:pPr>
        <w:pStyle w:val="Heading2"/>
      </w:pPr>
      <w:r>
        <w:t xml:space="preserve">Ethical Considerations</w:t>
      </w:r>
    </w:p>
    <w:p>
      <w:pPr>
        <w:numPr>
          <w:ilvl w:val="0"/>
          <w:numId w:val="1024"/>
        </w:numPr>
      </w:pPr>
      <w:r>
        <w:t xml:space="preserve">Obtain approval from Institutional Review Board (IRB)</w:t>
      </w:r>
    </w:p>
    <w:p>
      <w:pPr>
        <w:numPr>
          <w:ilvl w:val="0"/>
          <w:numId w:val="1024"/>
        </w:numPr>
      </w:pPr>
      <w:r>
        <w:t xml:space="preserve">Maintain confidentiality and anonymise data</w:t>
      </w:r>
    </w:p>
    <w:p>
      <w:pPr>
        <w:numPr>
          <w:ilvl w:val="0"/>
          <w:numId w:val="1024"/>
        </w:numPr>
      </w:pPr>
      <w:r>
        <w:t xml:space="preserve">Waiver of consent possible for the use of anonymised routinely collected health data</w:t>
      </w:r>
    </w:p>
    <w:bookmarkEnd w:id="35"/>
    <w:bookmarkStart w:id="36" w:name="expected-outcomes"/>
    <w:p>
      <w:pPr>
        <w:pStyle w:val="Heading2"/>
      </w:pPr>
      <w:r>
        <w:t xml:space="preserve">Expected Outcomes</w:t>
      </w:r>
    </w:p>
    <w:p>
      <w:pPr>
        <w:numPr>
          <w:ilvl w:val="0"/>
          <w:numId w:val="1025"/>
        </w:numPr>
      </w:pPr>
      <w:r>
        <w:t xml:space="preserve">Clarification of whether prior cesarean delivery reduces IVF success rates</w:t>
      </w:r>
    </w:p>
    <w:p>
      <w:pPr>
        <w:numPr>
          <w:ilvl w:val="0"/>
          <w:numId w:val="1025"/>
        </w:numPr>
      </w:pPr>
      <w:r>
        <w:t xml:space="preserve">Potential implications for counseling patients undergoing IVF</w:t>
      </w:r>
    </w:p>
    <w:bookmarkEnd w:id="36"/>
    <w:bookmarkStart w:id="37" w:name="timeline"/>
    <w:p>
      <w:pPr>
        <w:pStyle w:val="Heading2"/>
      </w:pPr>
      <w:r>
        <w:t xml:space="preserve">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Duration</w:t>
            </w:r>
          </w:p>
        </w:tc>
      </w:tr>
      <w:tr>
        <w:tc>
          <w:tcPr/>
          <w:p>
            <w:pPr>
              <w:pStyle w:val="Compact"/>
            </w:pPr>
            <w:r>
              <w:t xml:space="preserve">Protocol development</w:t>
            </w:r>
          </w:p>
        </w:tc>
        <w:tc>
          <w:tcPr/>
          <w:p>
            <w:pPr>
              <w:pStyle w:val="Compact"/>
            </w:pPr>
            <w:r>
              <w:t xml:space="preserve">1 month</w:t>
            </w:r>
          </w:p>
        </w:tc>
      </w:tr>
      <w:tr>
        <w:tc>
          <w:tcPr/>
          <w:p>
            <w:pPr>
              <w:pStyle w:val="Compact"/>
            </w:pPr>
            <w:r>
              <w:t xml:space="preserve">Ethical approval</w:t>
            </w:r>
          </w:p>
        </w:tc>
        <w:tc>
          <w:tcPr/>
          <w:p>
            <w:pPr>
              <w:pStyle w:val="Compact"/>
            </w:pPr>
            <w:r>
              <w:t xml:space="preserve">1–2 months</w:t>
            </w:r>
          </w:p>
        </w:tc>
      </w:tr>
      <w:tr>
        <w:tc>
          <w:tcPr/>
          <w:p>
            <w:pPr>
              <w:pStyle w:val="Compact"/>
            </w:pPr>
            <w:r>
              <w:t xml:space="preserve">Data collection</w:t>
            </w:r>
          </w:p>
        </w:tc>
        <w:tc>
          <w:tcPr/>
          <w:p>
            <w:pPr>
              <w:pStyle w:val="Compact"/>
            </w:pPr>
            <w:r>
              <w:t xml:space="preserve">2–4 months</w:t>
            </w:r>
          </w:p>
        </w:tc>
      </w:tr>
      <w:tr>
        <w:tc>
          <w:tcPr/>
          <w:p>
            <w:pPr>
              <w:pStyle w:val="Compact"/>
            </w:pPr>
            <w:r>
              <w:t xml:space="preserve">Analysis</w:t>
            </w:r>
          </w:p>
        </w:tc>
        <w:tc>
          <w:tcPr/>
          <w:p>
            <w:pPr>
              <w:pStyle w:val="Compact"/>
            </w:pPr>
            <w:r>
              <w:t xml:space="preserve">1–2 months</w:t>
            </w:r>
          </w:p>
        </w:tc>
      </w:tr>
      <w:tr>
        <w:tc>
          <w:tcPr/>
          <w:p>
            <w:pPr>
              <w:pStyle w:val="Compact"/>
            </w:pPr>
            <w:r>
              <w:t xml:space="preserve">Manuscript preparation</w:t>
            </w:r>
          </w:p>
        </w:tc>
        <w:tc>
          <w:tcPr/>
          <w:p>
            <w:pPr>
              <w:pStyle w:val="Compact"/>
            </w:pPr>
            <w:r>
              <w:t xml:space="preserve">2 months</w:t>
            </w:r>
          </w:p>
        </w:tc>
      </w:tr>
    </w:tbl>
    <w:bookmarkEnd w:id="37"/>
    <w:bookmarkStart w:id="48" w:name="strengths"/>
    <w:p>
      <w:pPr>
        <w:pStyle w:val="Heading2"/>
      </w:pPr>
      <w:r>
        <w:t xml:space="preserve">Strengths</w:t>
      </w:r>
    </w:p>
    <w:p>
      <w:pPr>
        <w:numPr>
          <w:ilvl w:val="0"/>
          <w:numId w:val="1026"/>
        </w:numPr>
      </w:pPr>
      <w:r>
        <w:t xml:space="preserve">Focused exposure (cesarean delivery)</w:t>
      </w:r>
    </w:p>
    <w:p>
      <w:pPr>
        <w:numPr>
          <w:ilvl w:val="0"/>
          <w:numId w:val="1026"/>
        </w:numPr>
      </w:pPr>
      <w:r>
        <w:t xml:space="preserve">Clinically relevant outcome</w:t>
      </w:r>
    </w:p>
    <w:p>
      <w:pPr>
        <w:numPr>
          <w:ilvl w:val="0"/>
          <w:numId w:val="1026"/>
        </w:numPr>
      </w:pPr>
      <w:r>
        <w:t xml:space="preserve">Feasible using existing IVF databases</w:t>
      </w:r>
    </w:p>
    <w:bookmarkStart w:id="47" w:name="refs"/>
    <w:bookmarkStart w:id="39" w:name="ref-Manimala2024"/>
    <w:p>
      <w:pPr>
        <w:pStyle w:val="Bibliography"/>
      </w:pPr>
      <w:r>
        <w:t xml:space="preserve">1. Manimala N.</w:t>
      </w:r>
      <w:r>
        <w:t xml:space="preserve"> </w:t>
      </w:r>
      <w:hyperlink r:id="rId38">
        <w:r>
          <w:rPr>
            <w:rStyle w:val="Hyperlink"/>
          </w:rPr>
          <w:t xml:space="preserve">Predictors of success following in vitro fertilization</w:t>
        </w:r>
      </w:hyperlink>
      <w:r>
        <w:t xml:space="preserve">. Fertility and Sterility. 2024;</w:t>
      </w:r>
    </w:p>
    <w:bookmarkEnd w:id="39"/>
    <w:bookmarkStart w:id="41" w:name="ref-létourneau2026"/>
    <w:p>
      <w:pPr>
        <w:pStyle w:val="Bibliography"/>
      </w:pPr>
      <w:r>
        <w:t xml:space="preserve">2. Létourneau I, Walker M, Gale J. The impact of a previous cesarean delivery on in vitro fertilization outcomes: A registry-based cohort study. American Journal of Obstetrics and Gynecology [Internet]. 2026;234:1671–9. Available from:</w:t>
      </w:r>
      <w:r>
        <w:t xml:space="preserve"> </w:t>
      </w:r>
      <w:hyperlink r:id="rId40">
        <w:r>
          <w:rPr>
            <w:rStyle w:val="Hyperlink"/>
          </w:rPr>
          <w:t xml:space="preserve">http://dx.doi.org/10.1016/j.ajog.2026.02.025</w:t>
        </w:r>
      </w:hyperlink>
    </w:p>
    <w:bookmarkEnd w:id="41"/>
    <w:bookmarkStart w:id="42" w:name="ref-fleiss2003"/>
    <w:p>
      <w:pPr>
        <w:pStyle w:val="Bibliography"/>
      </w:pPr>
      <w:r>
        <w:t xml:space="preserve">3. Fleiss JL, Levin B, Paik MC. Statistical methods for rates and proportions. 3rd ed. New York: John Wiley &amp; Sons; 2003.</w:t>
      </w:r>
    </w:p>
    <w:bookmarkEnd w:id="42"/>
    <w:bookmarkStart w:id="44" w:name="ref-epiR2093"/>
    <w:p>
      <w:pPr>
        <w:pStyle w:val="Bibliography"/>
      </w:pPr>
      <w:r>
        <w:t xml:space="preserve">4. Stevenson M, Nunes T, Heuer C, Marshall J, Sanchez J, Thornton R, et al. epiR: Tools for the analysis of epidemiological data [Internet]. 2024. Available from:</w:t>
      </w:r>
      <w:r>
        <w:t xml:space="preserve"> </w:t>
      </w:r>
      <w:hyperlink r:id="rId43">
        <w:r>
          <w:rPr>
            <w:rStyle w:val="Hyperlink"/>
          </w:rPr>
          <w:t xml:space="preserve">https://CRAN.R-project.org/package=epiR</w:t>
        </w:r>
      </w:hyperlink>
    </w:p>
    <w:bookmarkEnd w:id="44"/>
    <w:bookmarkStart w:id="46" w:name="ref-RCoreTeam2026"/>
    <w:p>
      <w:pPr>
        <w:pStyle w:val="Bibliography"/>
      </w:pPr>
      <w:r>
        <w:t xml:space="preserve">5. R Core Team. R: A language and environment for statistical computing [Internet]. Vienna, Austria: R Foundation for Statistical Computing; 2026. Available from:</w:t>
      </w:r>
      <w:r>
        <w:t xml:space="preserve"> </w:t>
      </w:r>
      <w:hyperlink r:id="rId45">
        <w:r>
          <w:rPr>
            <w:rStyle w:val="Hyperlink"/>
          </w:rPr>
          <w:t xml:space="preserve">https://www.R-project.org/</w:t>
        </w:r>
      </w:hyperlink>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ttp://dx.doi.org/10.1016/j.ajog.2026.02.025" TargetMode="External" /><Relationship Type="http://schemas.openxmlformats.org/officeDocument/2006/relationships/hyperlink" Id="rId43" Target="https://CRAN.R-project.org/package=epiR" TargetMode="External" /><Relationship Type="http://schemas.openxmlformats.org/officeDocument/2006/relationships/hyperlink" Id="rId38" Target="https://doi.org/10.1016/j.fertnstert.2024.03.003" TargetMode="External" /><Relationship Type="http://schemas.openxmlformats.org/officeDocument/2006/relationships/hyperlink" Id="rId45"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40" Target="http://dx.doi.org/10.1016/j.ajog.2026.02.025" TargetMode="External" /><Relationship Type="http://schemas.openxmlformats.org/officeDocument/2006/relationships/hyperlink" Id="rId43" Target="https://CRAN.R-project.org/package=epiR" TargetMode="External" /><Relationship Type="http://schemas.openxmlformats.org/officeDocument/2006/relationships/hyperlink" Id="rId38" Target="https://doi.org/10.1016/j.fertnstert.2024.03.003" TargetMode="External" /><Relationship Type="http://schemas.openxmlformats.org/officeDocument/2006/relationships/hyperlink" Id="rId45"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Prior Cesarean Delivery and IVF Outcome: A Case–Control Study Protocol</dc:title>
  <dc:creator/>
  <cp:keywords/>
  <dcterms:created xsi:type="dcterms:W3CDTF">2026-06-08T15:07:00Z</dcterms:created>
  <dcterms:modified xsi:type="dcterms:W3CDTF">2026-06-08T15:07:00Z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vancouver.csl</vt:lpwstr>
  </property>
  <property fmtid="{D5CDD505-2E9C-101B-9397-08002B2CF9AE}" pid="10" name="editor">
    <vt:lpwstr>visual</vt:lpwstr>
  </property>
  <property fmtid="{D5CDD505-2E9C-101B-9397-08002B2CF9AE}" pid="11" name="engines">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