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Between Prior Cesarean Delivery and IVF Outcome: A Case–Control Study Protocol</w:t>
      </w:r>
    </w:p>
    <w:bookmarkStart w:id="9" w:name="background-and-rationale"/>
    <w:p>
      <w:pPr>
        <w:pStyle w:val="Heading2"/>
      </w:pPr>
      <w:r>
        <w:t xml:space="preserve">Background and Rationale</w:t>
      </w:r>
    </w:p>
    <w:p>
      <w:pPr>
        <w:pStyle w:val="FirstParagraph"/>
      </w:pPr>
      <w:r>
        <w:t xml:space="preserve">In vitro fertilization (IVF) success depends depends on several factors, including the woman’s age, the cause of infertility, embryo quality, and previous reproductive history. Additionally, lifestyle factors such as body mass index and smoking can also influence success rates.</w:t>
      </w:r>
    </w:p>
    <w:p>
      <w:pPr>
        <w:pStyle w:val="BodyText"/>
      </w:pPr>
      <w:r>
        <w:t xml:space="preserve">Prior cesarean delivery (CD) may affect uterine integrity, potentially influencing implantation and pregnancy outcomes. However, evidence remains inconsistent. One recent study suggested that a previous cesarean delivery may reduce IVF outcomes after the first subsequent embryo transfer when compared with a previous vaginal delivery.</w:t>
      </w:r>
      <w:r>
        <w:t xml:space="preserve"> </w:t>
      </w:r>
      <w:r>
        <w:t xml:space="preserve">[1]</w:t>
      </w:r>
    </w:p>
    <w:p>
      <w:pPr>
        <w:pStyle w:val="BodyText"/>
      </w:pPr>
      <w:r>
        <w:t xml:space="preserve">This study aims to clarify the association between prior cesarean delivery and IVF success.</w:t>
      </w:r>
    </w:p>
    <w:bookmarkEnd w:id="9"/>
    <w:bookmarkStart w:id="10" w:name="objectives"/>
    <w:p>
      <w:pPr>
        <w:pStyle w:val="Heading2"/>
      </w:pPr>
      <w:r>
        <w:t xml:space="preserve">Objectives</w:t>
      </w:r>
    </w:p>
    <w:p>
      <w:pPr>
        <w:pStyle w:val="FirstParagraph"/>
      </w:pPr>
      <w:r>
        <w:t xml:space="preserve">The primary Objective of this study is to evaluate whether a </w:t>
      </w:r>
      <w:r>
        <w:rPr>
          <w:b/>
          <w:bCs/>
        </w:rPr>
        <w:t xml:space="preserve">history of prior cesarean delivery</w:t>
      </w:r>
      <w:r>
        <w:t xml:space="preserve"> is associated with </w:t>
      </w:r>
      <w:r>
        <w:rPr>
          <w:b/>
          <w:bCs/>
        </w:rPr>
        <w:t xml:space="preserve">IVF success</w:t>
      </w:r>
      <w:r>
        <w:t xml:space="preserve">.</w:t>
      </w:r>
    </w:p>
    <w:bookmarkEnd w:id="10"/>
    <w:bookmarkStart w:id="11" w:name="study-design"/>
    <w:p>
      <w:pPr>
        <w:pStyle w:val="Heading2"/>
      </w:pPr>
      <w:r>
        <w:t xml:space="preserve">Study Design</w:t>
      </w:r>
    </w:p>
    <w:p>
      <w:pPr>
        <w:numPr>
          <w:ilvl w:val="0"/>
          <w:numId w:val="1001"/>
        </w:numPr>
      </w:pPr>
      <w:r>
        <w:rPr>
          <w:b/>
          <w:bCs/>
        </w:rPr>
        <w:t xml:space="preserve">Design:</w:t>
      </w:r>
      <w:r>
        <w:t xml:space="preserve"> Observational, case–control study</w:t>
      </w:r>
    </w:p>
    <w:p>
      <w:pPr>
        <w:numPr>
          <w:ilvl w:val="0"/>
          <w:numId w:val="1001"/>
        </w:numPr>
      </w:pPr>
      <w:r>
        <w:rPr>
          <w:b/>
          <w:bCs/>
        </w:rPr>
        <w:t xml:space="preserve">Setting:</w:t>
      </w:r>
      <w:r>
        <w:t xml:space="preserve"> Fertility centers</w:t>
      </w:r>
    </w:p>
    <w:p>
      <w:pPr>
        <w:numPr>
          <w:ilvl w:val="0"/>
          <w:numId w:val="1001"/>
        </w:numPr>
      </w:pPr>
      <w:r>
        <w:rPr>
          <w:b/>
          <w:bCs/>
        </w:rPr>
        <w:t xml:space="preserve">Study period:</w:t>
      </w:r>
      <w:r>
        <w:t xml:space="preserve"> planned to begin in August 2026</w:t>
      </w:r>
    </w:p>
    <w:bookmarkEnd w:id="11"/>
    <w:bookmarkStart w:id="15" w:name="participants"/>
    <w:p>
      <w:pPr>
        <w:pStyle w:val="Heading2"/>
      </w:pPr>
      <w:r>
        <w:t xml:space="preserve">Participants</w:t>
      </w:r>
    </w:p>
    <w:bookmarkStart w:id="12" w:name="source-population"/>
    <w:p>
      <w:pPr>
        <w:pStyle w:val="Heading3"/>
      </w:pPr>
      <w:r>
        <w:t xml:space="preserve">Source Population</w:t>
      </w:r>
    </w:p>
    <w:p>
      <w:pPr>
        <w:pStyle w:val="FirstParagraph"/>
      </w:pPr>
      <w:r>
        <w:t xml:space="preserve">Women undergoing IVF/ICSI cycles within the study period</w:t>
      </w:r>
    </w:p>
    <w:bookmarkEnd w:id="12"/>
    <w:bookmarkStart w:id="13" w:name="inclusion-criteria"/>
    <w:p>
      <w:pPr>
        <w:pStyle w:val="Heading3"/>
      </w:pPr>
      <w:r>
        <w:t xml:space="preserve">Inclusion Criteria</w:t>
      </w:r>
    </w:p>
    <w:p>
      <w:pPr>
        <w:numPr>
          <w:ilvl w:val="0"/>
          <w:numId w:val="1002"/>
        </w:numPr>
      </w:pPr>
      <w:r>
        <w:t xml:space="preserve">Women aged 20–42 years</w:t>
      </w:r>
    </w:p>
    <w:p>
      <w:pPr>
        <w:numPr>
          <w:ilvl w:val="0"/>
          <w:numId w:val="1002"/>
        </w:numPr>
      </w:pPr>
      <w:r>
        <w:t xml:space="preserve">Undergoing IVF/ICSI with embryo transfer</w:t>
      </w:r>
    </w:p>
    <w:p>
      <w:pPr>
        <w:numPr>
          <w:ilvl w:val="0"/>
          <w:numId w:val="1002"/>
        </w:numPr>
      </w:pPr>
      <w:r>
        <w:t xml:space="preserve">History of at least one prior delivery</w:t>
      </w:r>
    </w:p>
    <w:bookmarkEnd w:id="13"/>
    <w:bookmarkStart w:id="14" w:name="exclusion-criteria"/>
    <w:p>
      <w:pPr>
        <w:pStyle w:val="Heading3"/>
      </w:pPr>
      <w:r>
        <w:t xml:space="preserve">Exclusion Criteria</w:t>
      </w:r>
    </w:p>
    <w:p>
      <w:pPr>
        <w:numPr>
          <w:ilvl w:val="0"/>
          <w:numId w:val="1003"/>
        </w:numPr>
      </w:pPr>
      <w:r>
        <w:t xml:space="preserve">Uterine anomalies (congenital malformations)</w:t>
      </w:r>
    </w:p>
    <w:p>
      <w:pPr>
        <w:numPr>
          <w:ilvl w:val="0"/>
          <w:numId w:val="1003"/>
        </w:numPr>
      </w:pPr>
      <w:r>
        <w:t xml:space="preserve">History of major uterine surgery other than cesarean namely myomectomy entering cavity</w:t>
      </w:r>
    </w:p>
    <w:p>
      <w:pPr>
        <w:numPr>
          <w:ilvl w:val="0"/>
          <w:numId w:val="1003"/>
        </w:numPr>
      </w:pPr>
      <w:r>
        <w:t xml:space="preserve">Known intrauterine pathology not treated (adhesions)</w:t>
      </w:r>
    </w:p>
    <w:p>
      <w:pPr>
        <w:numPr>
          <w:ilvl w:val="0"/>
          <w:numId w:val="1003"/>
        </w:numPr>
      </w:pPr>
      <w:r>
        <w:t xml:space="preserve">Missing key exposure/outcome data</w:t>
      </w:r>
    </w:p>
    <w:bookmarkEnd w:id="14"/>
    <w:bookmarkEnd w:id="15"/>
    <w:bookmarkStart w:id="18" w:name="case-and-control-definitions"/>
    <w:p>
      <w:pPr>
        <w:pStyle w:val="Heading2"/>
      </w:pPr>
      <w:r>
        <w:t xml:space="preserve">Case and Control Definitions</w:t>
      </w:r>
    </w:p>
    <w:bookmarkStart w:id="16" w:name="cases-successful-ivf"/>
    <w:p>
      <w:pPr>
        <w:pStyle w:val="Heading3"/>
      </w:pPr>
      <w:r>
        <w:t xml:space="preserve">Cases (Successful IVF)</w:t>
      </w:r>
    </w:p>
    <w:p>
      <w:pPr>
        <w:pStyle w:val="Compact"/>
        <w:numPr>
          <w:ilvl w:val="0"/>
          <w:numId w:val="1004"/>
        </w:numPr>
      </w:pPr>
      <w:r>
        <w:t xml:space="preserve">Women with </w:t>
      </w:r>
      <w:r>
        <w:rPr>
          <w:b/>
          <w:bCs/>
        </w:rPr>
        <w:t xml:space="preserve">clinical pregnancy</w:t>
      </w:r>
      <w:r>
        <w:t xml:space="preserve"> (defined as intrauterine gestational sac with fetal heartbeat at ~6–7 weeks)</w:t>
      </w:r>
    </w:p>
    <w:bookmarkEnd w:id="16"/>
    <w:bookmarkStart w:id="17" w:name="controls-failed-ivf"/>
    <w:p>
      <w:pPr>
        <w:pStyle w:val="Heading3"/>
      </w:pPr>
      <w:r>
        <w:t xml:space="preserve">Controls (Failed IVF)</w:t>
      </w:r>
    </w:p>
    <w:p>
      <w:pPr>
        <w:pStyle w:val="Compact"/>
        <w:numPr>
          <w:ilvl w:val="0"/>
          <w:numId w:val="1005"/>
        </w:numPr>
      </w:pPr>
      <w:r>
        <w:t xml:space="preserve">Women with </w:t>
      </w:r>
      <w:r>
        <w:rPr>
          <w:b/>
          <w:bCs/>
        </w:rPr>
        <w:t xml:space="preserve">negative pregnancy test</w:t>
      </w:r>
    </w:p>
    <w:bookmarkEnd w:id="17"/>
    <w:bookmarkEnd w:id="18"/>
    <w:bookmarkStart w:id="21" w:name="exposure-definition"/>
    <w:p>
      <w:pPr>
        <w:pStyle w:val="Heading2"/>
      </w:pPr>
      <w:r>
        <w:t xml:space="preserve">Exposure Definition</w:t>
      </w:r>
    </w:p>
    <w:bookmarkStart w:id="19" w:name="primary-exposure"/>
    <w:p>
      <w:pPr>
        <w:pStyle w:val="Heading3"/>
      </w:pPr>
      <w:r>
        <w:t xml:space="preserve">Primary Exposure</w:t>
      </w:r>
    </w:p>
    <w:p>
      <w:pPr>
        <w:pStyle w:val="Compact"/>
        <w:numPr>
          <w:ilvl w:val="0"/>
          <w:numId w:val="1006"/>
        </w:numPr>
      </w:pPr>
      <w:r>
        <w:rPr>
          <w:b/>
          <w:bCs/>
        </w:rPr>
        <w:t xml:space="preserve">History of prior cesarean delivery (Binary variable)</w:t>
      </w:r>
    </w:p>
    <w:bookmarkEnd w:id="19"/>
    <w:bookmarkStart w:id="20" w:name="exposure-categorization"/>
    <w:p>
      <w:pPr>
        <w:pStyle w:val="Heading3"/>
      </w:pPr>
      <w:r>
        <w:t xml:space="preserve">Exposure Categorization</w:t>
      </w:r>
    </w:p>
    <w:p>
      <w:pPr>
        <w:numPr>
          <w:ilvl w:val="0"/>
          <w:numId w:val="1007"/>
        </w:numPr>
      </w:pPr>
      <w:r>
        <w:t xml:space="preserve">No prior cesarean (reference group)</w:t>
      </w:r>
    </w:p>
    <w:p>
      <w:pPr>
        <w:numPr>
          <w:ilvl w:val="0"/>
          <w:numId w:val="1007"/>
        </w:numPr>
      </w:pPr>
      <w:r>
        <w:t xml:space="preserve">One prior cesarean</w:t>
      </w:r>
    </w:p>
    <w:p>
      <w:pPr>
        <w:numPr>
          <w:ilvl w:val="0"/>
          <w:numId w:val="1007"/>
        </w:numPr>
      </w:pPr>
      <w:r>
        <w:t xml:space="preserve">≥2 prior cesareans</w:t>
      </w:r>
    </w:p>
    <w:bookmarkEnd w:id="20"/>
    <w:bookmarkEnd w:id="21"/>
    <w:bookmarkStart w:id="25" w:name="potential-confounders"/>
    <w:p>
      <w:pPr>
        <w:pStyle w:val="Heading2"/>
      </w:pPr>
      <w:r>
        <w:t xml:space="preserve">Potential Confounders</w:t>
      </w:r>
    </w:p>
    <w:p>
      <w:pPr>
        <w:pStyle w:val="FirstParagraph"/>
      </w:pPr>
      <w:r>
        <w:t xml:space="preserve">Collected variables should include:</w:t>
      </w:r>
    </w:p>
    <w:bookmarkStart w:id="22" w:name="demographic-factors"/>
    <w:p>
      <w:pPr>
        <w:pStyle w:val="Heading3"/>
      </w:pPr>
      <w:r>
        <w:t xml:space="preserve">Demographic Factors</w:t>
      </w:r>
    </w:p>
    <w:p>
      <w:pPr>
        <w:numPr>
          <w:ilvl w:val="0"/>
          <w:numId w:val="1008"/>
        </w:numPr>
      </w:pPr>
      <w:r>
        <w:t xml:space="preserve">Maternal age</w:t>
      </w:r>
    </w:p>
    <w:p>
      <w:pPr>
        <w:numPr>
          <w:ilvl w:val="0"/>
          <w:numId w:val="1008"/>
        </w:numPr>
      </w:pPr>
      <w:r>
        <w:t xml:space="preserve">BMI</w:t>
      </w:r>
    </w:p>
    <w:p>
      <w:pPr>
        <w:numPr>
          <w:ilvl w:val="0"/>
          <w:numId w:val="1008"/>
        </w:numPr>
      </w:pPr>
      <w:r>
        <w:t xml:space="preserve">Smoking status</w:t>
      </w:r>
    </w:p>
    <w:bookmarkEnd w:id="22"/>
    <w:bookmarkStart w:id="23" w:name="reproductive-history"/>
    <w:p>
      <w:pPr>
        <w:pStyle w:val="Heading3"/>
      </w:pPr>
      <w:r>
        <w:t xml:space="preserve">Reproductive History</w:t>
      </w:r>
    </w:p>
    <w:p>
      <w:pPr>
        <w:numPr>
          <w:ilvl w:val="0"/>
          <w:numId w:val="1009"/>
        </w:numPr>
      </w:pPr>
      <w:r>
        <w:t xml:space="preserve">Parity</w:t>
      </w:r>
    </w:p>
    <w:p>
      <w:pPr>
        <w:numPr>
          <w:ilvl w:val="0"/>
          <w:numId w:val="1009"/>
        </w:numPr>
      </w:pPr>
      <w:r>
        <w:t xml:space="preserve">Previous vaginal deliveries</w:t>
      </w:r>
    </w:p>
    <w:p>
      <w:pPr>
        <w:numPr>
          <w:ilvl w:val="0"/>
          <w:numId w:val="1009"/>
        </w:numPr>
      </w:pPr>
      <w:r>
        <w:t xml:space="preserve">Infertility duration</w:t>
      </w:r>
    </w:p>
    <w:p>
      <w:pPr>
        <w:numPr>
          <w:ilvl w:val="0"/>
          <w:numId w:val="1009"/>
        </w:numPr>
      </w:pPr>
      <w:r>
        <w:t xml:space="preserve">Infertility cause</w:t>
      </w:r>
    </w:p>
    <w:bookmarkEnd w:id="23"/>
    <w:bookmarkStart w:id="24" w:name="ivf-cycle-characteristics"/>
    <w:p>
      <w:pPr>
        <w:pStyle w:val="Heading3"/>
      </w:pPr>
      <w:r>
        <w:t xml:space="preserve">IVF Cycle Characteristics</w:t>
      </w:r>
    </w:p>
    <w:p>
      <w:pPr>
        <w:numPr>
          <w:ilvl w:val="0"/>
          <w:numId w:val="1010"/>
        </w:numPr>
      </w:pPr>
      <w:r>
        <w:t xml:space="preserve">Type of cycle (fresh/frozen)</w:t>
      </w:r>
    </w:p>
    <w:p>
      <w:pPr>
        <w:numPr>
          <w:ilvl w:val="0"/>
          <w:numId w:val="1010"/>
        </w:numPr>
      </w:pPr>
      <w:r>
        <w:t xml:space="preserve">Embryo quality</w:t>
      </w:r>
    </w:p>
    <w:p>
      <w:pPr>
        <w:numPr>
          <w:ilvl w:val="0"/>
          <w:numId w:val="1010"/>
        </w:numPr>
      </w:pPr>
      <w:r>
        <w:t xml:space="preserve">Number of embryos transferred</w:t>
      </w:r>
    </w:p>
    <w:p>
      <w:pPr>
        <w:numPr>
          <w:ilvl w:val="0"/>
          <w:numId w:val="1010"/>
        </w:numPr>
      </w:pPr>
      <w:r>
        <w:t xml:space="preserve">Day of transfer (Day 3 vs Day 5)</w:t>
      </w:r>
    </w:p>
    <w:p>
      <w:pPr>
        <w:numPr>
          <w:ilvl w:val="0"/>
          <w:numId w:val="1010"/>
        </w:numPr>
      </w:pPr>
      <w:r>
        <w:t xml:space="preserve">Endometrial thickness</w:t>
      </w:r>
    </w:p>
    <w:p>
      <w:pPr>
        <w:numPr>
          <w:ilvl w:val="0"/>
          <w:numId w:val="1010"/>
        </w:numPr>
      </w:pPr>
      <w:r>
        <w:t xml:space="preserve">Stimulation protocol</w:t>
      </w:r>
    </w:p>
    <w:bookmarkEnd w:id="24"/>
    <w:bookmarkEnd w:id="25"/>
    <w:bookmarkStart w:id="26" w:name="sample-size-considerations"/>
    <w:p>
      <w:pPr>
        <w:pStyle w:val="Heading2"/>
      </w:pPr>
      <w:r>
        <w:t xml:space="preserve">Sample Size Considerations</w:t>
      </w:r>
    </w:p>
    <w:p>
      <w:pPr>
        <w:pStyle w:val="FirstParagraph"/>
      </w:pPr>
      <w:r>
        <w:t xml:space="preserve">Estimate based on:</w:t>
      </w:r>
    </w:p>
    <w:p>
      <w:pPr>
        <w:numPr>
          <w:ilvl w:val="0"/>
          <w:numId w:val="1011"/>
        </w:numPr>
      </w:pPr>
      <w:r>
        <w:t xml:space="preserve">Expected prevalence of prior cesarean delivery (60%)</w:t>
      </w:r>
    </w:p>
    <w:p>
      <w:pPr>
        <w:numPr>
          <w:ilvl w:val="0"/>
          <w:numId w:val="1011"/>
        </w:numPr>
      </w:pPr>
      <w:r>
        <w:t xml:space="preserve">Anticipated odds ratio (0.8)</w:t>
      </w:r>
    </w:p>
    <w:p>
      <w:pPr>
        <w:numPr>
          <w:ilvl w:val="0"/>
          <w:numId w:val="1011"/>
        </w:numPr>
      </w:pPr>
      <w:r>
        <w:t xml:space="preserve">Power = 80%</w:t>
      </w:r>
    </w:p>
    <w:p>
      <w:pPr>
        <w:numPr>
          <w:ilvl w:val="0"/>
          <w:numId w:val="1011"/>
        </w:numPr>
      </w:pPr>
      <w:r>
        <w:t xml:space="preserve">Alpha = 0.05</w:t>
      </w:r>
    </w:p>
    <w:p>
      <w:pPr>
        <w:pStyle w:val="FirstParagraph"/>
      </w:pPr>
      <w:r>
        <w:t xml:space="preserve">The sample is</w:t>
      </w:r>
    </w:p>
    <w:bookmarkEnd w:id="26"/>
    <w:bookmarkStart w:id="27" w:name="data-collection"/>
    <w:p>
      <w:pPr>
        <w:pStyle w:val="Heading2"/>
      </w:pPr>
      <w:r>
        <w:t xml:space="preserve">Data Collection</w:t>
      </w:r>
    </w:p>
    <w:p>
      <w:pPr>
        <w:numPr>
          <w:ilvl w:val="0"/>
          <w:numId w:val="1012"/>
        </w:numPr>
      </w:pPr>
      <w:r>
        <w:t xml:space="preserve">Extract from electronic medical records or IVF databases</w:t>
      </w:r>
    </w:p>
    <w:p>
      <w:pPr>
        <w:numPr>
          <w:ilvl w:val="0"/>
          <w:numId w:val="1012"/>
        </w:numPr>
      </w:pPr>
      <w:r>
        <w:t xml:space="preserve">Use standardized data abstraction forms</w:t>
      </w:r>
    </w:p>
    <w:p>
      <w:pPr>
        <w:numPr>
          <w:ilvl w:val="0"/>
          <w:numId w:val="1012"/>
        </w:numPr>
      </w:pPr>
      <w:r>
        <w:t xml:space="preserve">Ensure data completeness and validation</w:t>
      </w:r>
    </w:p>
    <w:bookmarkEnd w:id="27"/>
    <w:bookmarkStart w:id="32" w:name="statistical-analysis"/>
    <w:p>
      <w:pPr>
        <w:pStyle w:val="Heading2"/>
      </w:pPr>
      <w:r>
        <w:t xml:space="preserve">Statistical Analysis</w:t>
      </w:r>
    </w:p>
    <w:bookmarkStart w:id="28" w:name="descriptive-analysis"/>
    <w:p>
      <w:pPr>
        <w:pStyle w:val="Heading3"/>
      </w:pPr>
      <w:r>
        <w:t xml:space="preserve">Descriptive Analysis</w:t>
      </w:r>
    </w:p>
    <w:p>
      <w:pPr>
        <w:numPr>
          <w:ilvl w:val="0"/>
          <w:numId w:val="1013"/>
        </w:numPr>
      </w:pPr>
      <w:r>
        <w:t xml:space="preserve">Compare baseline characteristics between cases and controls</w:t>
      </w:r>
    </w:p>
    <w:p>
      <w:pPr>
        <w:numPr>
          <w:ilvl w:val="0"/>
          <w:numId w:val="1013"/>
        </w:numPr>
      </w:pPr>
      <w:r>
        <w:t xml:space="preserve">Use:</w:t>
      </w:r>
    </w:p>
    <w:p>
      <w:pPr>
        <w:numPr>
          <w:ilvl w:val="1"/>
          <w:numId w:val="1014"/>
        </w:numPr>
      </w:pPr>
      <w:r>
        <w:t xml:space="preserve">Chi-square test for categorical variables</w:t>
      </w:r>
    </w:p>
    <w:p>
      <w:pPr>
        <w:numPr>
          <w:ilvl w:val="1"/>
          <w:numId w:val="1014"/>
        </w:numPr>
      </w:pPr>
      <w:r>
        <w:t xml:space="preserve">t-test or Mann–Whitney U for continuous variables</w:t>
      </w:r>
    </w:p>
    <w:bookmarkEnd w:id="28"/>
    <w:bookmarkStart w:id="29" w:name="main-analysis"/>
    <w:p>
      <w:pPr>
        <w:pStyle w:val="Heading3"/>
      </w:pPr>
      <w:r>
        <w:t xml:space="preserve">Main Analysis</w:t>
      </w:r>
    </w:p>
    <w:p>
      <w:pPr>
        <w:pStyle w:val="Compact"/>
        <w:numPr>
          <w:ilvl w:val="0"/>
          <w:numId w:val="1015"/>
        </w:numPr>
      </w:pPr>
      <w:r>
        <w:t xml:space="preserve">Use </w:t>
      </w:r>
      <w:r>
        <w:rPr>
          <w:b/>
          <w:bCs/>
        </w:rPr>
        <w:t xml:space="preserve">logistic regression</w:t>
      </w:r>
      <w:r>
        <w:t xml:space="preserve"> to estimate association between prior cesarean delivery and IVF success</w:t>
      </w:r>
    </w:p>
    <w:p>
      <w:pPr>
        <w:pStyle w:val="SourceCode"/>
      </w:pPr>
      <w:r>
        <w:rPr>
          <w:rStyle w:val="VerbatimChar"/>
        </w:rPr>
        <w:t xml:space="preserve">Outcome: IVF success (yes/no)</w:t>
      </w:r>
      <w:r>
        <w:br/>
      </w:r>
      <w:r>
        <w:rPr>
          <w:rStyle w:val="VerbatimChar"/>
        </w:rPr>
        <w:t xml:space="preserve">Exposure: prior cesarean delivery (yes/no)</w:t>
      </w:r>
    </w:p>
    <w:p>
      <w:pPr>
        <w:pStyle w:val="Compact"/>
        <w:numPr>
          <w:ilvl w:val="0"/>
          <w:numId w:val="1016"/>
        </w:numPr>
      </w:pPr>
      <w:r>
        <w:t xml:space="preserve">Report </w:t>
      </w:r>
      <w:r>
        <w:rPr>
          <w:b/>
          <w:bCs/>
        </w:rPr>
        <w:t xml:space="preserve">Odds Ratios (ORs) with 95% Confidence Intervals (CIs)</w:t>
      </w:r>
    </w:p>
    <w:bookmarkEnd w:id="29"/>
    <w:bookmarkStart w:id="30" w:name="adjusted-analysis"/>
    <w:p>
      <w:pPr>
        <w:pStyle w:val="Heading3"/>
      </w:pPr>
      <w:r>
        <w:t xml:space="preserve">Adjusted Analysis</w:t>
      </w:r>
    </w:p>
    <w:p>
      <w:pPr>
        <w:pStyle w:val="FirstParagraph"/>
      </w:pPr>
      <w:r>
        <w:t xml:space="preserve">Adjust for confounders:</w:t>
      </w:r>
    </w:p>
    <w:p>
      <w:pPr>
        <w:numPr>
          <w:ilvl w:val="0"/>
          <w:numId w:val="1017"/>
        </w:numPr>
      </w:pPr>
      <w:r>
        <w:t xml:space="preserve">Age</w:t>
      </w:r>
    </w:p>
    <w:p>
      <w:pPr>
        <w:numPr>
          <w:ilvl w:val="0"/>
          <w:numId w:val="1017"/>
        </w:numPr>
      </w:pPr>
      <w:r>
        <w:t xml:space="preserve">BMI</w:t>
      </w:r>
    </w:p>
    <w:p>
      <w:pPr>
        <w:numPr>
          <w:ilvl w:val="0"/>
          <w:numId w:val="1017"/>
        </w:numPr>
      </w:pPr>
      <w:r>
        <w:t xml:space="preserve">Embryo quality</w:t>
      </w:r>
    </w:p>
    <w:p>
      <w:pPr>
        <w:numPr>
          <w:ilvl w:val="0"/>
          <w:numId w:val="1017"/>
        </w:numPr>
      </w:pPr>
      <w:r>
        <w:t xml:space="preserve">Number of embryos transferred</w:t>
      </w:r>
    </w:p>
    <w:p>
      <w:pPr>
        <w:numPr>
          <w:ilvl w:val="0"/>
          <w:numId w:val="1017"/>
        </w:numPr>
      </w:pPr>
      <w:r>
        <w:t xml:space="preserve">Infertility diagnosis</w:t>
      </w:r>
    </w:p>
    <w:bookmarkEnd w:id="30"/>
    <w:bookmarkStart w:id="31" w:name="sensitivity-analyses"/>
    <w:p>
      <w:pPr>
        <w:pStyle w:val="Heading3"/>
      </w:pPr>
      <w:r>
        <w:t xml:space="preserve">Sensitivity Analyses</w:t>
      </w:r>
    </w:p>
    <w:p>
      <w:pPr>
        <w:numPr>
          <w:ilvl w:val="0"/>
          <w:numId w:val="1018"/>
        </w:numPr>
      </w:pPr>
      <w:r>
        <w:t xml:space="preserve">Stratify by:</w:t>
      </w:r>
    </w:p>
    <w:p>
      <w:pPr>
        <w:numPr>
          <w:ilvl w:val="1"/>
          <w:numId w:val="1019"/>
        </w:numPr>
      </w:pPr>
      <w:r>
        <w:t xml:space="preserve">Fresh vs frozen cycles</w:t>
      </w:r>
    </w:p>
    <w:p>
      <w:pPr>
        <w:numPr>
          <w:ilvl w:val="1"/>
          <w:numId w:val="1019"/>
        </w:numPr>
      </w:pPr>
      <w:r>
        <w:t xml:space="preserve">Age groups (&lt;35 vs ≥35)</w:t>
      </w:r>
    </w:p>
    <w:p>
      <w:pPr>
        <w:numPr>
          <w:ilvl w:val="0"/>
          <w:numId w:val="1018"/>
        </w:numPr>
      </w:pPr>
      <w:r>
        <w:t xml:space="preserve">Exclude women with multiple prior cesareans (optional)</w:t>
      </w:r>
    </w:p>
    <w:bookmarkEnd w:id="31"/>
    <w:bookmarkEnd w:id="32"/>
    <w:bookmarkStart w:id="34" w:name="bias-and-limitations"/>
    <w:p>
      <w:pPr>
        <w:pStyle w:val="Heading2"/>
      </w:pPr>
      <w:r>
        <w:t xml:space="preserve">Bias and Limitations</w:t>
      </w:r>
    </w:p>
    <w:p>
      <w:pPr>
        <w:numPr>
          <w:ilvl w:val="0"/>
          <w:numId w:val="1020"/>
        </w:numPr>
      </w:pPr>
      <w:r>
        <w:rPr>
          <w:b/>
          <w:bCs/>
        </w:rPr>
        <w:t xml:space="preserve">Selection bias:</w:t>
      </w:r>
      <w:r>
        <w:t xml:space="preserve"> clinic-based population</w:t>
      </w:r>
    </w:p>
    <w:p>
      <w:pPr>
        <w:numPr>
          <w:ilvl w:val="0"/>
          <w:numId w:val="1020"/>
        </w:numPr>
      </w:pPr>
      <w:r>
        <w:rPr>
          <w:b/>
          <w:bCs/>
        </w:rPr>
        <w:t xml:space="preserve">Confounding:</w:t>
      </w:r>
      <w:r>
        <w:t xml:space="preserve"> age, infertility etiology</w:t>
      </w:r>
    </w:p>
    <w:bookmarkStart w:id="33" w:name="mitigation-strategies"/>
    <w:p>
      <w:pPr>
        <w:pStyle w:val="Heading3"/>
      </w:pPr>
      <w:r>
        <w:t xml:space="preserve">Mitigation Strategies</w:t>
      </w:r>
    </w:p>
    <w:p>
      <w:pPr>
        <w:numPr>
          <w:ilvl w:val="0"/>
          <w:numId w:val="1021"/>
        </w:numPr>
      </w:pPr>
      <w:r>
        <w:t xml:space="preserve">Use strict definitions</w:t>
      </w:r>
    </w:p>
    <w:p>
      <w:pPr>
        <w:numPr>
          <w:ilvl w:val="0"/>
          <w:numId w:val="1021"/>
        </w:numPr>
      </w:pPr>
      <w:r>
        <w:t xml:space="preserve">Adjust in multivariable models</w:t>
      </w:r>
    </w:p>
    <w:p>
      <w:pPr>
        <w:numPr>
          <w:ilvl w:val="0"/>
          <w:numId w:val="1021"/>
        </w:numPr>
      </w:pPr>
      <w:r>
        <w:t xml:space="preserve">Sensitivity analyses</w:t>
      </w:r>
    </w:p>
    <w:bookmarkEnd w:id="33"/>
    <w:bookmarkEnd w:id="34"/>
    <w:bookmarkStart w:id="35" w:name="ethical-considerations"/>
    <w:p>
      <w:pPr>
        <w:pStyle w:val="Heading2"/>
      </w:pPr>
      <w:r>
        <w:t xml:space="preserve">Ethical Considerations</w:t>
      </w:r>
    </w:p>
    <w:p>
      <w:pPr>
        <w:numPr>
          <w:ilvl w:val="0"/>
          <w:numId w:val="1022"/>
        </w:numPr>
      </w:pPr>
      <w:r>
        <w:t xml:space="preserve">Obtain approval from Institutional Review Board (IRB)</w:t>
      </w:r>
    </w:p>
    <w:p>
      <w:pPr>
        <w:numPr>
          <w:ilvl w:val="0"/>
          <w:numId w:val="1022"/>
        </w:numPr>
      </w:pPr>
      <w:r>
        <w:t xml:space="preserve">Maintain confidentiality and anonymize data</w:t>
      </w:r>
    </w:p>
    <w:p>
      <w:pPr>
        <w:numPr>
          <w:ilvl w:val="0"/>
          <w:numId w:val="1022"/>
        </w:numPr>
      </w:pPr>
      <w:r>
        <w:t xml:space="preserve">Waiver of consent possible for the use of anonymized routinely collected healthdata</w:t>
      </w:r>
    </w:p>
    <w:bookmarkEnd w:id="35"/>
    <w:bookmarkStart w:id="36" w:name="expected-outcomes"/>
    <w:p>
      <w:pPr>
        <w:pStyle w:val="Heading2"/>
      </w:pPr>
      <w:r>
        <w:t xml:space="preserve">Expected Outcomes</w:t>
      </w:r>
    </w:p>
    <w:p>
      <w:pPr>
        <w:numPr>
          <w:ilvl w:val="0"/>
          <w:numId w:val="1023"/>
        </w:numPr>
      </w:pPr>
      <w:r>
        <w:t xml:space="preserve">Clarification of whether prior cesarean delivery reduces IVF success rates</w:t>
      </w:r>
    </w:p>
    <w:p>
      <w:pPr>
        <w:numPr>
          <w:ilvl w:val="0"/>
          <w:numId w:val="1023"/>
        </w:numPr>
      </w:pPr>
      <w:r>
        <w:t xml:space="preserve">Potential implications for counseling patients undergoing IVF</w:t>
      </w:r>
    </w:p>
    <w:bookmarkEnd w:id="36"/>
    <w:bookmarkStart w:id="37" w:name="timeline"/>
    <w:p>
      <w:pPr>
        <w:pStyle w:val="Heading2"/>
      </w:pPr>
      <w:r>
        <w:t xml:space="preserve">Timeline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Duration</w:t>
            </w:r>
          </w:p>
        </w:tc>
      </w:tr>
      <w:tr>
        <w:tc>
          <w:tcPr/>
          <w:p>
            <w:pPr>
              <w:pStyle w:val="Compact"/>
            </w:pPr>
            <w:r>
              <w:t xml:space="preserve">Protocol development</w:t>
            </w:r>
          </w:p>
        </w:tc>
        <w:tc>
          <w:tcPr/>
          <w:p>
            <w:pPr>
              <w:pStyle w:val="Compact"/>
            </w:pPr>
            <w:r>
              <w:t xml:space="preserve">1 month</w:t>
            </w:r>
          </w:p>
        </w:tc>
      </w:tr>
      <w:tr>
        <w:tc>
          <w:tcPr/>
          <w:p>
            <w:pPr>
              <w:pStyle w:val="Compact"/>
            </w:pPr>
            <w:r>
              <w:t xml:space="preserve">Ethical approval</w:t>
            </w:r>
          </w:p>
        </w:tc>
        <w:tc>
          <w:tcPr/>
          <w:p>
            <w:pPr>
              <w:pStyle w:val="Compact"/>
            </w:pPr>
            <w:r>
              <w:t xml:space="preserve">1–2 months</w:t>
            </w:r>
          </w:p>
        </w:tc>
      </w:tr>
      <w:tr>
        <w:tc>
          <w:tcPr/>
          <w:p>
            <w:pPr>
              <w:pStyle w:val="Compact"/>
            </w:pPr>
            <w:r>
              <w:t xml:space="preserve">Data collection</w:t>
            </w:r>
          </w:p>
        </w:tc>
        <w:tc>
          <w:tcPr/>
          <w:p>
            <w:pPr>
              <w:pStyle w:val="Compact"/>
            </w:pPr>
            <w:r>
              <w:t xml:space="preserve">2–4 months</w:t>
            </w:r>
          </w:p>
        </w:tc>
      </w:tr>
      <w:tr>
        <w:tc>
          <w:tcPr/>
          <w:p>
            <w:pPr>
              <w:pStyle w:val="Compact"/>
            </w:pPr>
            <w:r>
              <w:t xml:space="preserve">Analysis</w:t>
            </w:r>
          </w:p>
        </w:tc>
        <w:tc>
          <w:tcPr/>
          <w:p>
            <w:pPr>
              <w:pStyle w:val="Compact"/>
            </w:pPr>
            <w:r>
              <w:t xml:space="preserve">1–2 months</w:t>
            </w:r>
          </w:p>
        </w:tc>
      </w:tr>
      <w:tr>
        <w:tc>
          <w:tcPr/>
          <w:p>
            <w:pPr>
              <w:pStyle w:val="Compact"/>
            </w:pPr>
            <w:r>
              <w:t xml:space="preserve">Manuscript preparation</w:t>
            </w:r>
          </w:p>
        </w:tc>
        <w:tc>
          <w:tcPr/>
          <w:p>
            <w:pPr>
              <w:pStyle w:val="Compact"/>
            </w:pPr>
            <w:r>
              <w:t xml:space="preserve">2 months</w:t>
            </w:r>
          </w:p>
        </w:tc>
      </w:tr>
    </w:tbl>
    <w:bookmarkEnd w:id="37"/>
    <w:bookmarkStart w:id="41" w:name="strengths"/>
    <w:p>
      <w:pPr>
        <w:pStyle w:val="Heading2"/>
      </w:pPr>
      <w:r>
        <w:t xml:space="preserve">Strengths</w:t>
      </w:r>
    </w:p>
    <w:p>
      <w:pPr>
        <w:numPr>
          <w:ilvl w:val="0"/>
          <w:numId w:val="1024"/>
        </w:numPr>
      </w:pPr>
      <w:r>
        <w:t xml:space="preserve">Focused exposure (cesarean delivery)</w:t>
      </w:r>
    </w:p>
    <w:p>
      <w:pPr>
        <w:numPr>
          <w:ilvl w:val="0"/>
          <w:numId w:val="1024"/>
        </w:numPr>
      </w:pPr>
      <w:r>
        <w:t xml:space="preserve">Clinically relevant outcome</w:t>
      </w:r>
    </w:p>
    <w:p>
      <w:pPr>
        <w:numPr>
          <w:ilvl w:val="0"/>
          <w:numId w:val="1024"/>
        </w:numPr>
      </w:pPr>
      <w:r>
        <w:t xml:space="preserve">Feasible using existing IVF databases</w:t>
      </w:r>
    </w:p>
    <w:bookmarkStart w:id="40" w:name="refs"/>
    <w:bookmarkStart w:id="39" w:name="ref-létourneau2026"/>
    <w:p>
      <w:pPr>
        <w:pStyle w:val="Bibliography"/>
      </w:pPr>
      <w:r>
        <w:t xml:space="preserve">1. Létourneau I, Walker M, Gale J. The impact of a previous cesarean delivery on in vitro fertilization outcomes: A registry-based cohort study. American Journal of Obstetrics and Gynecology [Internet]. 2026;234:1671–9. Available from:</w:t>
      </w:r>
      <w:r>
        <w:t xml:space="preserve"> </w:t>
      </w:r>
      <w:hyperlink r:id="rId38">
        <w:r>
          <w:rPr>
            <w:rStyle w:val="Hyperlink"/>
          </w:rPr>
          <w:t xml:space="preserve">http://dx.doi.org/10.1016/j.ajog.2026.02.025</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dx.doi.org/10.1016/j.ajog.2026.02.025" TargetMode="External" /></Relationships>
</file>

<file path=word/_rels/footnotes.xml.rels><?xml version="1.0" encoding="UTF-8"?><Relationships xmlns="http://schemas.openxmlformats.org/package/2006/relationships"><Relationship Type="http://schemas.openxmlformats.org/officeDocument/2006/relationships/hyperlink" Id="rId38" Target="http://dx.doi.org/10.1016/j.ajog.2026.02.0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Prior Cesarean Delivery and IVF Outcome: A Case–Control Study Protocol</dc:title>
  <dc:creator/>
  <cp:keywords/>
  <dcterms:created xsi:type="dcterms:W3CDTF">2026-06-07T21:48:23Z</dcterms:created>
  <dcterms:modified xsi:type="dcterms:W3CDTF">2026-06-07T21:48:23Z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vancouver.csl</vt:lpwstr>
  </property>
  <property fmtid="{D5CDD505-2E9C-101B-9397-08002B2CF9AE}" pid="10" name="editor">
    <vt:lpwstr>visual</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