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Abdelkader</w:t>
      </w:r>
      <w:r>
        <w:rPr>
          <w:vertAlign w:val="superscript"/>
        </w:rPr>
        <w:t xml:space="preserve">2*</w:t>
      </w:r>
      <w:r>
        <w:t xml:space="preserve">, Rahma Alaa</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(KTS)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pregnancy was complicated by severe fetal growth restriction (FGR)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patients with KTS complicated by KMP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Angioosteohypertrophy syndrome, also known as Klippel–Trenaunay syndrome (KTS), is a rare congenital disorder characterized by capillary malformations, venous abnormalities, and limb hypertrophy. Pregnancy in women with KTS is uncommon and associated with increased risks, including thromboembolic events, hemorrhage, and consumptive coagulopathy. Kasabach–Merritt phenomenon (KMP), a severe complication involving thrombocytopenia and coagulopathy due to vascular lesions, further increases maternal and fetal morbidity.</w:t>
      </w:r>
    </w:p>
    <w:p>
      <w:pPr>
        <w:pStyle w:val="BodyText"/>
      </w:pPr>
      <w:r>
        <w:t xml:space="preserve">Fetal growth restriction (FGR) with abnormal umbilical artery Doppler findings, such as absent end-diastolic flow, reflects placental insufficiency and is associated with adverse perinatal outcomes. We report a rare case of pregnancy complicated by KTS and KMP resulting in severe FGR requiring preterm cesarean delivery.</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Klippel–Trenaunay syndrome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Pregnancy complicated by Klippel–Trenaunay syndrome presents significant obstetric challenges due to altered vascular dynamics and increased risk of bleeding and thrombosis. The presence of Kasabach–Merritt phenomenon further complicates management, as consumptive coagulopathy may worsen during pregnancy.</w:t>
      </w:r>
    </w:p>
    <w:p>
      <w:pPr>
        <w:pStyle w:val="BodyText"/>
      </w:pPr>
      <w:r>
        <w:t xml:space="preserve">Severe fetal growth restriction with absent end-diastolic flow is associated with increased perinatal morbidity and mortality and often necessitates preterm delivery. In this case, close fetal surveillance and coordinated multidisciplinary care enabled timely intervention.</w:t>
      </w:r>
    </w:p>
    <w:p>
      <w:pPr>
        <w:pStyle w:val="BodyText"/>
      </w:pPr>
      <w:r>
        <w:t xml:space="preserve">Only a limited number of similar cases have been reported in the literature, underscoring the rarity of this condition. This case contributes to existing knowledge by highlighting the perinatal implications of combined KTS and KMP and emphasizes the importance of individualized management in tertiary care settings.</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2026-02-13T00:32:52Z</dcterms:created>
  <dcterms:modified xsi:type="dcterms:W3CDTF">2026-02-13T00:32:52Z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