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Pregnancy Complicated by Klippel–Trenaunay Syndrome and Kasabach Merritt syndrome Resulting in Severe Fetal Growth Restriction: A case report and review of literature</w:t>
      </w:r>
    </w:p>
    <w:bookmarkStart w:id="20"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Sara Ibrahim Abdelkader</w:t>
      </w:r>
      <w:r>
        <w:rPr>
          <w:vertAlign w:val="superscript"/>
        </w:rPr>
        <w:t xml:space="preserve">2*</w:t>
      </w:r>
      <w:r>
        <w:t xml:space="preserve">, Rahma Alaa Abdelhafez</w:t>
      </w:r>
      <w:r>
        <w:rPr>
          <w:vertAlign w:val="superscript"/>
        </w:rPr>
        <w:t xml:space="preserve">2</w:t>
      </w:r>
      <w:r>
        <w:t xml:space="preserve">, Mohammed Ghanem</w:t>
      </w:r>
      <w:r>
        <w:rPr>
          <w:vertAlign w:val="superscript"/>
        </w:rPr>
        <w:t xml:space="preserve">2</w:t>
      </w:r>
      <w:r>
        <w:t xml:space="preserve">, Ahmed Azab</w:t>
      </w:r>
      <w:r>
        <w:rPr>
          <w:vertAlign w:val="superscript"/>
        </w:rPr>
        <w:t xml:space="preserve">2</w:t>
      </w:r>
      <w:r>
        <w:t xml:space="preserve">, Belgin Ahmed Nagah</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Ashraf Nabhan</w:t>
      </w:r>
      <w:r>
        <w:rPr>
          <w:vertAlign w:val="superscript"/>
        </w:rPr>
        <w:t xml:space="preserve">1,3</w:t>
      </w:r>
    </w:p>
    <w:bookmarkEnd w:id="20"/>
    <w:bookmarkStart w:id="23"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w:t>
      </w:r>
    </w:p>
    <w:p>
      <w:pPr>
        <w:pStyle w:val="BodyText"/>
      </w:pPr>
      <w:r>
        <w:t xml:space="preserve">* Corresponding author: Sara Ibrahim Abdelkader. Faculty of Medicine, Galala University, Attaka, Suez, Egypt. Email:</w:t>
      </w:r>
      <w:r>
        <w:t xml:space="preserve"> </w:t>
      </w:r>
      <w:hyperlink r:id="rId21">
        <w:r>
          <w:rPr>
            <w:rStyle w:val="Hyperlink"/>
          </w:rPr>
          <w:t xml:space="preserve">sara.elzeftawy@gu.edu.eg</w:t>
        </w:r>
      </w:hyperlink>
      <w:r>
        <w:t xml:space="preserve">, ORCID:</w:t>
      </w:r>
      <w:r>
        <w:t xml:space="preserve"> </w:t>
      </w:r>
      <w:hyperlink r:id="rId22">
        <w:r>
          <w:rPr>
            <w:rStyle w:val="Hyperlink"/>
          </w:rPr>
          <w:t xml:space="preserve">0009-0002-5877-4722</w:t>
        </w:r>
      </w:hyperlink>
    </w:p>
    <w:p>
      <w:pPr>
        <w:pStyle w:val="BodyText"/>
      </w:pPr>
      <w:r>
        <w:t xml:space="preserve">Word count: 2500</w:t>
      </w:r>
    </w:p>
    <w:bookmarkEnd w:id="23"/>
    <w:bookmarkStart w:id="24" w:name="abstract"/>
    <w:p>
      <w:pPr>
        <w:pStyle w:val="Heading1"/>
      </w:pPr>
      <w:r>
        <w:t xml:space="preserve">Abstract</w:t>
      </w:r>
    </w:p>
    <w:p>
      <w:pPr>
        <w:pStyle w:val="FirstParagraph"/>
      </w:pPr>
      <w:r>
        <w:t xml:space="preserve">Klippel–Trenaunay syndrome is a rare congenital vascular disorder that may be complicated by Kasabach Merritt syndrome, posing significant maternal and fetal risks during pregnancy.</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 A growth-restricted neonate was delivered and managed accordingly.</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t xml:space="preserve">Keywords: Klippel–Trenaunay syndrome; angioosteohypertrophy syndrome; Kasabach Merritt syndrome; fetal growth restriction; high-risk pregnancy</w:t>
      </w:r>
    </w:p>
    <w:bookmarkEnd w:id="24"/>
    <w:bookmarkStart w:id="25" w:name="introduction"/>
    <w:p>
      <w:pPr>
        <w:pStyle w:val="Heading1"/>
      </w:pPr>
      <w:r>
        <w:t xml:space="preserve">Introduction</w:t>
      </w:r>
    </w:p>
    <w:p>
      <w:pPr>
        <w:pStyle w:val="FirstParagraph"/>
      </w:pPr>
      <w:r>
        <w:t xml:space="preserve">Klippel-Trenaunay syndrome (KTS) is a rare genetic syndrome characterized by localized cutaneous hemangiomas, venous varicosities, and asymmetric osseous hypertrophy of the ipsilateral extremities.</w:t>
      </w:r>
      <w:r>
        <w:t xml:space="preserve"> </w:t>
      </w:r>
      <w:r>
        <w:t xml:space="preserve">[1]</w:t>
      </w:r>
    </w:p>
    <w:p>
      <w:pPr>
        <w:pStyle w:val="BodyText"/>
      </w:pPr>
      <w:r>
        <w:t xml:space="preserve">Complications at delivery can include disseminated intravascular coagulation (DIC) and massive hemorrhage. Coagulopathic events may be due to persistent blood loss or may reflect the development of Kasabach-Merritt syndrome (KMS). KMS is defined by thrombocytopenia of varying degrees and a consumptive coagulopathy seen in association with hemangiomas. A microangiopathic hemolytic anemia may also be present.</w:t>
      </w:r>
      <w:r>
        <w:t xml:space="preserve"> </w:t>
      </w:r>
      <w:r>
        <w:t xml:space="preserve">[2]</w:t>
      </w:r>
    </w:p>
    <w:p>
      <w:pPr>
        <w:pStyle w:val="BodyText"/>
      </w:pPr>
      <w:r>
        <w:t xml:space="preserve">Fetal growth restriction (FGR) with abnormal umbilical artery Doppler findings, such as absent end-diastolic flow, reflects placental insufficiency and is associated with adverse perinatal outcomes.</w:t>
      </w:r>
      <w:r>
        <w:t xml:space="preserve"> </w:t>
      </w:r>
      <w:r>
        <w:t xml:space="preserve">[3]</w:t>
      </w:r>
    </w:p>
    <w:p>
      <w:pPr>
        <w:pStyle w:val="BodyText"/>
      </w:pPr>
      <w:r>
        <w:t xml:space="preserve">The occurrence of KTS complicated by KMS during pregnancy is extremely rare, and, to our knowledge, only two cases have been reported.</w:t>
      </w:r>
      <w:r>
        <w:t xml:space="preserve"> </w:t>
      </w:r>
      <w:r>
        <w:t xml:space="preserve">[4,5]</w:t>
      </w:r>
    </w:p>
    <w:bookmarkEnd w:id="25"/>
    <w:bookmarkStart w:id="26" w:name="case-presentation"/>
    <w:p>
      <w:pPr>
        <w:pStyle w:val="Heading1"/>
      </w:pPr>
      <w:r>
        <w:t xml:space="preserve">Case Presentation</w:t>
      </w:r>
    </w:p>
    <w:p>
      <w:pPr>
        <w:pStyle w:val="FirstParagraph"/>
      </w:pPr>
      <w:r>
        <w:t xml:space="preserve">A 28-year-old multigravida woman (G3, P2) presented at 35 weeks’ gestation for antenatal evaluation. She had a known diagnosis of KTS involving [affected limb/region], diagnosed at [age/year].</w:t>
      </w:r>
    </w:p>
    <w:p>
      <w:pPr>
        <w:pStyle w:val="BodyText"/>
      </w:pPr>
      <w:r>
        <w:t xml:space="preserve">Maternal Clinical Findings</w:t>
      </w:r>
    </w:p>
    <w:p>
      <w:pPr>
        <w:pStyle w:val="BodyText"/>
      </w:pPr>
      <w:r>
        <w:t xml:space="preserve">• Blood pressure: [value]</w:t>
      </w:r>
    </w:p>
    <w:p>
      <w:pPr>
        <w:pStyle w:val="BodyText"/>
      </w:pPr>
      <w:r>
        <w:t xml:space="preserve">• Presence of vascular malformations: [description]</w:t>
      </w:r>
    </w:p>
    <w:p>
      <w:pPr>
        <w:pStyle w:val="BodyText"/>
      </w:pPr>
      <w:r>
        <w:t xml:space="preserve">• Symptoms suggestive of KMP: [e.g., bruising, bleeding, pain]</w:t>
      </w:r>
    </w:p>
    <w:p>
      <w:pPr>
        <w:pStyle w:val="BodyText"/>
      </w:pPr>
      <w:r>
        <w:t xml:space="preserve">Laboratory investigations revealed:</w:t>
      </w:r>
    </w:p>
    <w:p>
      <w:pPr>
        <w:pStyle w:val="BodyText"/>
      </w:pPr>
      <w:r>
        <w:t xml:space="preserve">• Platelet count: [value]</w:t>
      </w:r>
    </w:p>
    <w:p>
      <w:pPr>
        <w:pStyle w:val="BodyText"/>
      </w:pPr>
      <w:r>
        <w:t xml:space="preserve">• Fibrinogen: [value]</w:t>
      </w:r>
    </w:p>
    <w:p>
      <w:pPr>
        <w:pStyle w:val="BodyText"/>
      </w:pPr>
      <w:r>
        <w:t xml:space="preserve">• D-dimer: [value]</w:t>
      </w:r>
    </w:p>
    <w:p>
      <w:pPr>
        <w:pStyle w:val="BodyText"/>
      </w:pPr>
      <w:r>
        <w:t xml:space="preserve">These findings were consistent with Kasabach–Merritt phenomenon.</w:t>
      </w:r>
    </w:p>
    <w:p>
      <w:pPr>
        <w:pStyle w:val="BodyText"/>
      </w:pPr>
      <w:r>
        <w:t xml:space="preserve">Fetal Assessment</w:t>
      </w:r>
    </w:p>
    <w:p>
      <w:pPr>
        <w:pStyle w:val="BodyText"/>
      </w:pPr>
      <w:r>
        <w:t xml:space="preserve">Ultrasound examination at [gestational age] weeks demonstrated:</w:t>
      </w:r>
    </w:p>
    <w:p>
      <w:pPr>
        <w:pStyle w:val="BodyText"/>
      </w:pPr>
      <w:r>
        <w:t xml:space="preserve">• Estimated fetal weight below the [percentile]</w:t>
      </w:r>
    </w:p>
    <w:p>
      <w:pPr>
        <w:pStyle w:val="BodyText"/>
      </w:pPr>
      <w:r>
        <w:t xml:space="preserve">• Abnormal umbilical artery Doppler with absent end-diastolic blood flow • Amniotic fluid index: [value]</w:t>
      </w:r>
    </w:p>
    <w:p>
      <w:pPr>
        <w:pStyle w:val="BodyText"/>
      </w:pPr>
      <w:r>
        <w:t xml:space="preserve">Based on worsening fetal Doppler parameters and maternal risks, a multidisciplinary team involving obstetrics, hematology, anesthesia, and neonatology recommended delivery.</w:t>
      </w:r>
    </w:p>
    <w:p>
      <w:pPr>
        <w:pStyle w:val="BodyText"/>
      </w:pPr>
      <w:r>
        <w:t xml:space="preserve">Delivery and Neonatal Outcome</w:t>
      </w:r>
    </w:p>
    <w:p>
      <w:pPr>
        <w:pStyle w:val="BodyText"/>
      </w:pPr>
      <w:r>
        <w:t xml:space="preserve">A cesarean section was performed at 35 weeks of gestation under [type of anesthesia]. A female/male neonate weighing [birth weight] g was delivered with Apgar scores of [values] at 1 and 5 minutes.</w:t>
      </w:r>
    </w:p>
    <w:p>
      <w:pPr>
        <w:pStyle w:val="BodyText"/>
      </w:pPr>
      <w:r>
        <w:t xml:space="preserve">The neonate required [NICU admission / respiratory support / observation]. Maternal postoperative recovery was [uneventful/complicated by…].</w:t>
      </w:r>
    </w:p>
    <w:p>
      <w:pPr>
        <w:pStyle w:val="BodyText"/>
      </w:pPr>
      <w:r>
        <w:t xml:space="preserve">Maternal admission to ICU</w:t>
      </w:r>
    </w:p>
    <w:p>
      <w:pPr>
        <w:pStyle w:val="BodyText"/>
      </w:pPr>
      <w:r>
        <w:t xml:space="preserve">[course in details]</w:t>
      </w:r>
    </w:p>
    <w:bookmarkEnd w:id="26"/>
    <w:bookmarkStart w:id="27" w:name="discussion"/>
    <w:p>
      <w:pPr>
        <w:pStyle w:val="Heading1"/>
      </w:pPr>
      <w:r>
        <w:t xml:space="preserve">Discussion</w:t>
      </w:r>
    </w:p>
    <w:p>
      <w:pPr>
        <w:pStyle w:val="FirstParagraph"/>
      </w:pPr>
      <w:r>
        <w:t xml:space="preserve">KTS is defined as a triad of clinical features, including unilateral cutaneous hemangiomas, varicose veins, soft tissue, and asymmetric osseous hypertrophy of the ipsilateral extremities. Cases may also have arteriovenous fistulae. A review KTS indicates a consistent absence or major atresia of the deep venous vascular system, causing limb elongation, venous stasis, varicosities, and edema. The etiology of KTS may reflect a mesodermal defect operative at angiogenesis and therefore explain the vascular abnormalities that define the syndrome. Complications in the affected extremity may include stasis dermatitis, skin ulceration, and recurrent hemarthrosis-all of which may require amputation of the limb for management.</w:t>
      </w:r>
    </w:p>
    <w:p>
      <w:pPr>
        <w:pStyle w:val="BodyText"/>
      </w:pPr>
      <w:r>
        <w:t xml:space="preserve">Our patient’s refractory coagulopathy prompted the diagnostic consideration of KMS. First reported in 1940, the syndrome consists of thrombocytopenia and a consumptive coagulopathy seen in association with hemangiomas. Consistent laboratory abnormalities include thrombocytopenia, decreased fibrinogen, and coagulation factors II, V, and Vill. Increased PT, PIT, and fibrin split products are also invariably present. A similar clinical presentation has been reported in association with KTS. The exact mechanism by which the thrombocytopenia and coagulopathy develop is unknown. A combination of venous stasis and abnormal endothelial cells within the hemangiomas likely functions to increase platelet pooling and destruction with activation of the coagulation cascade, resulting in a localized and self-perpetuating coagulopathy. Once established, the local consumption of clotting factors and platelets persisted in the hemangioma and resulted in hemorrhage at the incision site. A prominent feature of this patient’s persistent coagulopathy was the markedly elevated fibrin split products. This finding prompted our decision to use the plasminogen-activator inhibitory effects of aminocaproic acid after the failure of blood product replacement therapy to correct her coagulopathy.</w:t>
      </w:r>
    </w:p>
    <w:bookmarkEnd w:id="27"/>
    <w:bookmarkStart w:id="28" w:name="conclusion"/>
    <w:p>
      <w:pPr>
        <w:pStyle w:val="Heading1"/>
      </w:pPr>
      <w:r>
        <w:t xml:space="preserve">Conclusion</w:t>
      </w:r>
    </w:p>
    <w:p>
      <w:pPr>
        <w:pStyle w:val="FirstParagraph"/>
      </w:pPr>
      <w:r>
        <w:t xml:space="preserve">Pregnancy in women with Klippel–Trenaunay syndrome complicated by Kasabach–Merritt phenomenon is extremely rare and high risk. Intensive antenatal surveillance and multidisciplinary management are essential to optimize maternal and perinatal outcomes.</w:t>
      </w:r>
    </w:p>
    <w:bookmarkEnd w:id="28"/>
    <w:bookmarkStart w:id="36" w:name="declarations"/>
    <w:p>
      <w:pPr>
        <w:pStyle w:val="Heading1"/>
      </w:pPr>
      <w:r>
        <w:t xml:space="preserve">Declarations</w:t>
      </w:r>
    </w:p>
    <w:bookmarkStart w:id="29" w:name="Xd182db0490b2de20bd2b4e4cc8698599182035f"/>
    <w:p>
      <w:pPr>
        <w:pStyle w:val="Heading2"/>
      </w:pPr>
      <w:r>
        <w:t xml:space="preserve">Ethics approval and consent to participate</w:t>
      </w:r>
    </w:p>
    <w:p>
      <w:pPr>
        <w:pStyle w:val="FirstParagraph"/>
      </w:pPr>
      <w:r>
        <w:t xml:space="preserve">Not applicable.</w:t>
      </w:r>
    </w:p>
    <w:bookmarkEnd w:id="29"/>
    <w:bookmarkStart w:id="30" w:name="consent-for-publication"/>
    <w:p>
      <w:pPr>
        <w:pStyle w:val="Heading2"/>
      </w:pPr>
      <w:r>
        <w:t xml:space="preserve">Consent for publication</w:t>
      </w:r>
    </w:p>
    <w:p>
      <w:pPr>
        <w:pStyle w:val="FirstParagraph"/>
      </w:pPr>
      <w:r>
        <w:t xml:space="preserve">A written consent for publication has been obtained from the patient.</w:t>
      </w:r>
    </w:p>
    <w:bookmarkEnd w:id="30"/>
    <w:bookmarkStart w:id="31"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31"/>
    <w:bookmarkStart w:id="32" w:name="competing-interests"/>
    <w:p>
      <w:pPr>
        <w:pStyle w:val="Heading2"/>
      </w:pPr>
      <w:r>
        <w:t xml:space="preserve">Competing interests</w:t>
      </w:r>
    </w:p>
    <w:p>
      <w:pPr>
        <w:pStyle w:val="FirstParagraph"/>
      </w:pPr>
      <w:r>
        <w:t xml:space="preserve">The authors declare that they have no competing interests.</w:t>
      </w:r>
    </w:p>
    <w:bookmarkEnd w:id="32"/>
    <w:bookmarkStart w:id="3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3"/>
    <w:bookmarkStart w:id="34"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34"/>
    <w:bookmarkStart w:id="35"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35"/>
    <w:bookmarkEnd w:id="36"/>
    <w:bookmarkStart w:id="48" w:name="references"/>
    <w:p>
      <w:pPr>
        <w:pStyle w:val="Heading1"/>
      </w:pPr>
      <w:r>
        <w:t xml:space="preserve">References</w:t>
      </w:r>
    </w:p>
    <w:bookmarkStart w:id="47" w:name="refs"/>
    <w:bookmarkStart w:id="38" w:name="ref-Pavone2023"/>
    <w:p>
      <w:pPr>
        <w:pStyle w:val="Bibliography"/>
      </w:pPr>
      <w:r>
        <w:t xml:space="preserve">1. Pavone P, Marino L, Cacciaguerra G, Di Nora A, Parano E, Musumeci G, et al.</w:t>
      </w:r>
      <w:r>
        <w:t xml:space="preserve"> </w:t>
      </w:r>
      <w:hyperlink r:id="rId37">
        <w:r>
          <w:rPr>
            <w:rStyle w:val="Hyperlink"/>
          </w:rPr>
          <w:t xml:space="preserve">Klippel-trenaunay syndrome, segmental/focal overgrowth malformations: A review</w:t>
        </w:r>
      </w:hyperlink>
      <w:r>
        <w:t xml:space="preserve">. Children (Basel). 2023;10:1421.</w:t>
      </w:r>
    </w:p>
    <w:bookmarkEnd w:id="38"/>
    <w:bookmarkStart w:id="40" w:name="ref-Tian2026"/>
    <w:p>
      <w:pPr>
        <w:pStyle w:val="Bibliography"/>
      </w:pPr>
      <w:r>
        <w:t xml:space="preserve">2. Tian Y, Yuan Y, Wei L, Xu Z, Li L, Li L.</w:t>
      </w:r>
      <w:r>
        <w:t xml:space="preserve"> </w:t>
      </w:r>
      <w:hyperlink r:id="rId39">
        <w:r>
          <w:rPr>
            <w:rStyle w:val="Hyperlink"/>
          </w:rPr>
          <w:t xml:space="preserve">Kaposiform hemangioendothelioma: Diagnosis and treatment</w:t>
        </w:r>
      </w:hyperlink>
      <w:r>
        <w:t xml:space="preserve">. Pediatric Investigation. 2026;</w:t>
      </w:r>
    </w:p>
    <w:bookmarkEnd w:id="40"/>
    <w:bookmarkStart w:id="42" w:name="ref-Akay2025"/>
    <w:p>
      <w:pPr>
        <w:pStyle w:val="Bibliography"/>
      </w:pPr>
      <w:r>
        <w:t xml:space="preserve">3. Akay E, Uzun Gül AD, Türkoğlu A.</w:t>
      </w:r>
      <w:r>
        <w:t xml:space="preserve"> </w:t>
      </w:r>
      <w:hyperlink r:id="rId41">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42"/>
    <w:bookmarkStart w:id="44" w:name="ref-Neubert1995"/>
    <w:p>
      <w:pPr>
        <w:pStyle w:val="Bibliography"/>
      </w:pPr>
      <w:r>
        <w:t xml:space="preserve">4. Neubert GA, Golden MA, Rose NC.</w:t>
      </w:r>
      <w:r>
        <w:t xml:space="preserve"> </w:t>
      </w:r>
      <w:hyperlink r:id="rId43">
        <w:r>
          <w:rPr>
            <w:rStyle w:val="Hyperlink"/>
          </w:rPr>
          <w:t xml:space="preserve">Kasabach-merritt coagulopathy complicating klippel-trenaunay-weber syndrome in pregnancy</w:t>
        </w:r>
      </w:hyperlink>
      <w:r>
        <w:t xml:space="preserve">. Obstetrics &amp; Gynecology. 1995;85:831–3.</w:t>
      </w:r>
    </w:p>
    <w:bookmarkEnd w:id="44"/>
    <w:bookmarkStart w:id="46" w:name="ref-Kanmani2021"/>
    <w:p>
      <w:pPr>
        <w:pStyle w:val="Bibliography"/>
      </w:pPr>
      <w:r>
        <w:t xml:space="preserve">5. Kanmani K, Meena M, Narmadha D, A. GV.</w:t>
      </w:r>
      <w:r>
        <w:t xml:space="preserve"> </w:t>
      </w:r>
      <w:hyperlink r:id="rId45">
        <w:r>
          <w:rPr>
            <w:rStyle w:val="Hyperlink"/>
          </w:rPr>
          <w:t xml:space="preserve">Klippel trenaunay syndrome–an obstetric challenge</w:t>
        </w:r>
      </w:hyperlink>
      <w:r>
        <w:t xml:space="preserve">. International Journal of Reproduction, Contraception, Obstetrics and Gynecology. 2021;10:2081–4.</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41" Target="https://doi.org/10.1186/s12884-025-07540-0" TargetMode="External" /><Relationship Type="http://schemas.openxmlformats.org/officeDocument/2006/relationships/hyperlink" Id="rId45" Target="https://doi.org/10.18203/2320-1770.ijrcog20211511" TargetMode="External" /><Relationship Type="http://schemas.openxmlformats.org/officeDocument/2006/relationships/hyperlink" Id="rId37"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21"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41" Target="https://doi.org/10.1186/s12884-025-07540-0" TargetMode="External" /><Relationship Type="http://schemas.openxmlformats.org/officeDocument/2006/relationships/hyperlink" Id="rId45" Target="https://doi.org/10.18203/2320-1770.ijrcog20211511" TargetMode="External" /><Relationship Type="http://schemas.openxmlformats.org/officeDocument/2006/relationships/hyperlink" Id="rId37"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21"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Pregnancy Complicated by Klippel–Trenaunay Syndrome and Kasabach Merritt syndrome Resulting in Severe Fetal Growth Restriction: A case report and review of literature</dc:title>
  <dc:creator/>
  <cp:keywords/>
  <dcterms:created xsi:type="dcterms:W3CDTF">2026-02-20T14:47:56Z</dcterms:created>
  <dcterms:modified xsi:type="dcterms:W3CDTF">2026-02-20T14:47:56Z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google-scholar">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auto</vt:lpwstr>
  </property>
  <property fmtid="{D5CDD505-2E9C-101B-9397-08002B2CF9AE}" pid="13" name="manuscript">
    <vt:lpwstr/>
  </property>
  <property fmtid="{D5CDD505-2E9C-101B-9397-08002B2CF9AE}" pid="14" name="notebook-preview-options">
    <vt:lpwstr/>
  </property>
  <property fmtid="{D5CDD505-2E9C-101B-9397-08002B2CF9AE}" pid="15" name="quarto-internal">
    <vt:lpwstr/>
  </property>
  <property fmtid="{D5CDD505-2E9C-101B-9397-08002B2CF9AE}" pid="16" name="remove-hidden">
    <vt:lpwstr>all</vt:lpwstr>
  </property>
  <property fmtid="{D5CDD505-2E9C-101B-9397-08002B2CF9AE}" pid="17" name="template-partials">
    <vt:lpwstr/>
  </property>
  <property fmtid="{D5CDD505-2E9C-101B-9397-08002B2CF9AE}" pid="18" name="theme">
    <vt:lpwstr>cosmo</vt:lpwstr>
  </property>
  <property fmtid="{D5CDD505-2E9C-101B-9397-08002B2CF9AE}" pid="19" name="title-block-style">
    <vt:lpwstr>manuscript</vt:lpwstr>
  </property>
  <property fmtid="{D5CDD505-2E9C-101B-9397-08002B2CF9AE}" pid="20" name="toc-title">
    <vt:lpwstr>Table of contents</vt:lpwstr>
  </property>
  <property fmtid="{D5CDD505-2E9C-101B-9397-08002B2CF9AE}" pid="21" name="unroll-markdown-cells">
    <vt:lpwstr>True</vt:lpwstr>
  </property>
</Properties>
</file>