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is a rare genetic syndrome characterized by localized hemangiomas, venous varicosities, and asymmetric osseous hypertrophy of the ipsilateral extremities.</w:t>
      </w:r>
    </w:p>
    <w:p>
      <w:pPr>
        <w:pStyle w:val="BodyText"/>
      </w:pPr>
      <w:r>
        <w:t xml:space="preserve">Klippel-Trenaunay syndrome (KTS) is a rare genetic syndrome characterized by localized cutaneous hemangiomas, venous varicosities, and asymmetric osseous hypertrophy of the ipsilateral extremities. Complications at delivery can include disseminated intravascular coagulation (DIC) and massive hemorrhage.</w:t>
      </w:r>
    </w:p>
    <w:p>
      <w:pPr>
        <w:pStyle w:val="BodyText"/>
      </w:pPr>
      <w:r>
        <w:t xml:space="preserve">Coagulopathic events may be due to persistent blood loss or may reflect the development of Kasabach-Merritt syndrome (KMS). First reported in 1940, this syndrome has been described most commonly in children; it is defined by thrombocytopenia of varying degrees and a consumptive coagulopathy seen in association with hemangiomas. A microangiopathic hemolytic anemia may also be present.</w:t>
      </w:r>
    </w:p>
    <w:p>
      <w:pPr>
        <w:pStyle w:val="BodyText"/>
      </w:pPr>
      <w:r>
        <w:t xml:space="preserve">Fetal growth restriction (FGR) with abnormal umbilical artery Doppler findings, such as absent end-diastolic flow, reflects placental insufficiency and is associated with adverse perinatal outcomes.</w:t>
      </w:r>
    </w:p>
    <w:p>
      <w:pPr>
        <w:pStyle w:val="BodyText"/>
      </w:pPr>
      <w:r>
        <w:t xml:space="preserve">The occurrence of KTS complicated by KMS during pregnancy is extremely rare, and, to our knowledge, only one case has been reported.</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KTS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KTS, first described in 1900, is defined as a triad of clinical features, including unilateral cutaneous hemangiomas, varicose veins, soft tissue, and asymmetric osseous hypertrophy of the ipsilateral extremities. Additionally, cases may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Our patient’s refractory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extremely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37" w:name="references"/>
    <w:p>
      <w:pPr>
        <w:pStyle w:val="Heading1"/>
      </w:pPr>
      <w:r>
        <w:t xml:space="preserve">References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2026-02-20T13:52:10Z</dcterms:created>
  <dcterms:modified xsi:type="dcterms:W3CDTF">2026-02-20T13:52:10Z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