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Klippel–Trenaunay syndrome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genetic syndrome characterized by localized cutaneous hemangiomas, venous varicosities, and asymmetric osseous hypertrophy of the ipsilateral extremities.</w:t>
      </w:r>
      <w:r>
        <w:t xml:space="preserve"> </w:t>
      </w:r>
      <w:r>
        <w:t xml:space="preserve">[1]</w:t>
      </w:r>
    </w:p>
    <w:p>
      <w:pPr>
        <w:pStyle w:val="BodyText"/>
      </w:pPr>
      <w:r>
        <w:t xml:space="preserve">Complications at delivery can include disseminated intravascular coagulation (DIC) and massive hemorrhage. Coagulopathic events may be due to persistent blood loss or may reflect the development of Kasabach-Merritt syndrome (KMS). KMS is defined by thrombocytopenia of varying degrees and a consumptive coagulopathy seen in association with hemangiomas. A microangiopathic hemolytic anemia may also be present.</w:t>
      </w:r>
      <w:r>
        <w:t xml:space="preserve"> </w:t>
      </w:r>
      <w:r>
        <w:t xml:space="preserve">[2]</w:t>
      </w:r>
    </w:p>
    <w:p>
      <w:pPr>
        <w:pStyle w:val="BodyText"/>
      </w:pPr>
      <w:r>
        <w:t xml:space="preserve">Fetal growth restriction (FGR) with abnormal umbilical artery Doppler findings, such as absent end-diastolic flow, reflects placental insufficiency and is associated with adverse perinatal outcomes.</w:t>
      </w:r>
      <w:r>
        <w:t xml:space="preserve"> </w:t>
      </w:r>
      <w:r>
        <w:t xml:space="preserve">[3]</w:t>
      </w:r>
    </w:p>
    <w:p>
      <w:pPr>
        <w:pStyle w:val="BodyText"/>
      </w:pPr>
      <w:r>
        <w:t xml:space="preserve">The occurrence of KTS complicated by KMS during pregnancy is extremely rare, and, to our knowledge, only two cases have been reported.</w:t>
      </w:r>
      <w:r>
        <w:t xml:space="preserve"> </w:t>
      </w:r>
      <w:r>
        <w:t xml:space="preserve">[4,5]</w:t>
      </w:r>
    </w:p>
    <w:bookmarkEnd w:id="25"/>
    <w:bookmarkStart w:id="26" w:name="case-presentation"/>
    <w:p>
      <w:pPr>
        <w:pStyle w:val="Heading1"/>
      </w:pPr>
      <w:r>
        <w:t xml:space="preserve">Case Presentation</w:t>
      </w:r>
    </w:p>
    <w:p>
      <w:pPr>
        <w:pStyle w:val="FirstParagraph"/>
      </w:pPr>
      <w:r>
        <w:t xml:space="preserve">A 28-year-old multigravida woman (G3, P2 both by cesarean sections) presented at 30 weeks by clinical significant hematuria.</w:t>
      </w:r>
    </w:p>
    <w:p>
      <w:pPr>
        <w:pStyle w:val="BodyText"/>
      </w:pPr>
      <w:r>
        <w:t xml:space="preserve">She had a known diagnosis of KTS involving both lower limbs, back, pelvis, and urinary bladder, diagnosed at two years of age.</w:t>
      </w:r>
    </w:p>
    <w:p>
      <w:pPr>
        <w:pStyle w:val="BodyText"/>
      </w:pPr>
      <w:r>
        <w:t xml:space="preserve">Maternal Clinical Findings</w:t>
      </w:r>
    </w:p>
    <w:p>
      <w:pPr>
        <w:pStyle w:val="BodyText"/>
      </w:pPr>
      <w:r>
        <w:t xml:space="preserve">Blood pressure: 120/80 mmhg, temperature 36.2 C, pulse 68 beats per minute.</w:t>
      </w:r>
    </w:p>
    <w:p>
      <w:pPr>
        <w:pStyle w:val="BodyText"/>
      </w:pPr>
      <w:r>
        <w:t xml:space="preserve">Presence of vascular malformations: port wine in the back and gulteal region.</w:t>
      </w:r>
    </w:p>
    <w:p>
      <w:pPr>
        <w:pStyle w:val="BodyText"/>
      </w:pPr>
      <w:r>
        <w:t xml:space="preserve">She had a discrepancy in the length of both lower limbs.</w:t>
      </w:r>
    </w:p>
    <w:p>
      <w:pPr>
        <w:pStyle w:val="BodyText"/>
      </w:pPr>
      <w:r>
        <w:t xml:space="preserve">Urological consultation for the significant hemturia. Initial management included IV tranexamic acid and indwelling silicon triple way urinary catheter for one week.</w:t>
      </w:r>
    </w:p>
    <w:p>
      <w:pPr>
        <w:pStyle w:val="BodyText"/>
      </w:pPr>
      <w:r>
        <w:t xml:space="preserve">Her laboratory findings revealed</w:t>
      </w:r>
    </w:p>
    <w:p>
      <w:pPr>
        <w:pStyle w:val="BodyText"/>
      </w:pPr>
      <w:r>
        <w:t xml:space="preserve">Hemoglobin:</w:t>
      </w:r>
    </w:p>
    <w:p>
      <w:pPr>
        <w:pStyle w:val="BodyText"/>
      </w:pPr>
      <w:r>
        <w:t xml:space="preserve">• Platelet count:</w:t>
      </w:r>
    </w:p>
    <w:p>
      <w:pPr>
        <w:pStyle w:val="BodyText"/>
      </w:pPr>
      <w:r>
        <w:t xml:space="preserve">• Fibrinogen:</w:t>
      </w:r>
    </w:p>
    <w:p>
      <w:pPr>
        <w:pStyle w:val="BodyText"/>
      </w:pPr>
      <w:r>
        <w:t xml:space="preserve">• D-dimer:</w:t>
      </w:r>
    </w:p>
    <w:p>
      <w:pPr>
        <w:pStyle w:val="BodyText"/>
      </w:pPr>
      <w:r>
        <w:t xml:space="preserve">These Findings were suggestive of KMS</w:t>
      </w:r>
    </w:p>
    <w:p>
      <w:pPr>
        <w:pStyle w:val="BodyText"/>
      </w:pPr>
      <w:r>
        <w:t xml:space="preserve">The patient received six units of packed cell transfusion to correct the worsening hemoglobin.</w:t>
      </w:r>
    </w:p>
    <w:p>
      <w:pPr>
        <w:pStyle w:val="BodyText"/>
      </w:pPr>
      <w:r>
        <w:t xml:space="preserve">Fetal Assessment: Ultrasound examination at 30 weeks demonstrated:</w:t>
      </w:r>
    </w:p>
    <w:p>
      <w:pPr>
        <w:pStyle w:val="BodyText"/>
      </w:pPr>
      <w:r>
        <w:t xml:space="preserve">• Estimated fetal weight below the 10th percentile</w:t>
      </w:r>
    </w:p>
    <w:p>
      <w:pPr>
        <w:pStyle w:val="BodyText"/>
      </w:pPr>
      <w:r>
        <w:t xml:space="preserve">• Abnormal umbilical artery Doppler with absent end-diastolic blood flow</w:t>
      </w:r>
    </w:p>
    <w:p>
      <w:pPr>
        <w:pStyle w:val="BodyText"/>
      </w:pPr>
      <w:r>
        <w:t xml:space="preserve">• Amniotic fluid index:</w:t>
      </w:r>
    </w:p>
    <w:p>
      <w:pPr>
        <w:pStyle w:val="BodyText"/>
      </w:pPr>
      <w:r>
        <w:t xml:space="preserve">MRV revealed extensive venous malformations reaching anterior abdominal wall,pelvis, cervix, vagina, and urinary bladder.</w:t>
      </w:r>
    </w:p>
    <w:p>
      <w:pPr>
        <w:pStyle w:val="BodyText"/>
      </w:pPr>
      <w:r>
        <w:t xml:space="preserve">Pelvi-abbdominal ultrasound revealed two iso-echoic soft tissue masses in the posterior wall of the urinary bladder with maximum size measuring 2 x 3 cm.</w:t>
      </w:r>
    </w:p>
    <w:p>
      <w:pPr>
        <w:pStyle w:val="BodyText"/>
      </w:pPr>
      <w:r>
        <w:t xml:space="preserve">At 35 weeks, based on worsening fetal Doppler parameters and maternal risks, a multidisciplinary team involving obstetrics, hematology, anesthesia, and neonatology recommended delivery by cesarean section.</w:t>
      </w:r>
    </w:p>
    <w:p>
      <w:pPr>
        <w:pStyle w:val="BodyText"/>
      </w:pPr>
      <w:r>
        <w:t xml:space="preserve">Cesarean delivery and Neonatal Outcome</w:t>
      </w:r>
    </w:p>
    <w:p>
      <w:pPr>
        <w:pStyle w:val="BodyText"/>
      </w:pPr>
      <w:r>
        <w:t xml:space="preserve">A cesarean section was performed at 35 weeks of gestation under general endotracheal anesethsia. Vertical midline abdominal incision was made. Significant varicosities was seen in the anterior abdominal wall and over the lower uterine segment and in the interface between the uterus and the bladder. Lower segment insicion of the uterus to deliver the fetus and placenta. This was followed by closure of the uterine wall in two layers. Hemostasis secured.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require respiratory support nor observation.</w:t>
      </w:r>
    </w:p>
    <w:p>
      <w:pPr>
        <w:pStyle w:val="BodyText"/>
      </w:pPr>
      <w:r>
        <w:t xml:space="preserve">Maternal postoperative course</w:t>
      </w:r>
    </w:p>
    <w:p>
      <w:pPr>
        <w:pStyle w:val="BodyText"/>
      </w:pPr>
      <w:r>
        <w:t xml:space="preserve">Postoperatively, she had a hemoperitoneum and was admitted to the ICU. Although her immedaite day one postoperative hemoglobin was 9.3 g/dl and platelets 100,000, rapid deterioration to hemoglobin of 7 g/dl and platelet 70,000 occurred on the second postoperative day despite full replacement by blood products. She received ten units of packed cell transfusion and fresh frozen plasma (with a one to one ratio) over the course of seven days.</w:t>
      </w:r>
    </w:p>
    <w:p>
      <w:pPr>
        <w:pStyle w:val="BodyText"/>
      </w:pPr>
      <w:r>
        <w:t xml:space="preserve">On day three, TVUS revealed marked hemoperitoneum with a localized heamtoma realted to the lower uterine segment, approximately 12 cm in maximum length. Decision of conservation was taken by teh attending consultant and the head of the unit.</w:t>
      </w:r>
    </w:p>
    <w:p>
      <w:pPr>
        <w:pStyle w:val="BodyText"/>
      </w:pPr>
      <w:r>
        <w:t xml:space="preserve">On day 7, her hemogbin showed a plateau at 10.1 g/dl and remained for there days. Her platelets remained at 70,000.</w:t>
      </w:r>
    </w:p>
    <w:p>
      <w:pPr>
        <w:pStyle w:val="BodyText"/>
      </w:pPr>
      <w:r>
        <w:t xml:space="preserve">The patient was discharged on day ten postoperatively. She was seen on day 19 in the outpatient clinic. General condition was fair, lax abdomen, and skin sutures were removed with a perfect healing of the abdominal incision.</w:t>
      </w:r>
    </w:p>
    <w:bookmarkEnd w:id="26"/>
    <w:bookmarkStart w:id="27" w:name="discussion"/>
    <w:p>
      <w:pPr>
        <w:pStyle w:val="Heading1"/>
      </w:pPr>
      <w:r>
        <w:t xml:space="preserve">Discussion</w:t>
      </w:r>
    </w:p>
    <w:p>
      <w:pPr>
        <w:pStyle w:val="FirstParagraph"/>
      </w:pPr>
      <w:r>
        <w:t xml:space="preserve">This case report describes the course of a pregnancy in a woman with Klippel–Trenaunay syndrome complicated by Kasabach–Merritt syndrome and fetal growth restriction. This is an extremely rare scenario. True maternal KMS complicating KTS in pregnancy has been reported in the literature by only a</w:t>
      </w:r>
      <w:r>
        <w:t xml:space="preserve"> </w:t>
      </w:r>
      <w:r>
        <w:rPr>
          <w:b/>
          <w:bCs/>
        </w:rPr>
        <w:t xml:space="preserve">single case report</w:t>
      </w:r>
      <w:r>
        <w:t xml:space="preserve"> </w:t>
      </w:r>
      <w:r>
        <w:t xml:space="preserve">[4]</w:t>
      </w:r>
      <w:r>
        <w:t xml:space="preserve">.</w:t>
      </w:r>
    </w:p>
    <w:p>
      <w:pPr>
        <w:pStyle w:val="BodyText"/>
      </w:pPr>
      <w:r>
        <w:t xml:space="preserve">KTS requires at least</w:t>
      </w:r>
      <w:r>
        <w:t xml:space="preserve"> </w:t>
      </w:r>
      <w:r>
        <w:rPr>
          <w:b/>
          <w:bCs/>
        </w:rPr>
        <w:t xml:space="preserve">two of three</w:t>
      </w:r>
      <w:r>
        <w:t xml:space="preserve"> </w:t>
      </w:r>
      <w:r>
        <w:t xml:space="preserve">features of the classic triad — (1) capillary malformation (port-wine stain), (2) venous and/or lymphatic malformations/varicosities, and (3) soft tissue and/or bony hypertrophy of one or more limbs — in the</w:t>
      </w:r>
      <w:r>
        <w:t xml:space="preserve"> </w:t>
      </w:r>
      <w:r>
        <w:rPr>
          <w:b/>
          <w:bCs/>
        </w:rPr>
        <w:t xml:space="preserve">absence</w:t>
      </w:r>
      <w:r>
        <w:t xml:space="preserve"> </w:t>
      </w:r>
      <w:r>
        <w:t xml:space="preserve">of arterio-venous malformation (which would indicate Parkes Weber syndrome instead).</w:t>
      </w:r>
      <w:r>
        <w:t xml:space="preserve"> </w:t>
      </w:r>
      <w:r>
        <w:t xml:space="preserve">[6–8]</w:t>
      </w:r>
    </w:p>
    <w:p>
      <w:pPr>
        <w:pStyle w:val="BodyText"/>
      </w:pPr>
      <w:r>
        <w:t xml:space="preserve">Our patient’s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syndrome is extremely rare.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54" w:name="references"/>
    <w:p>
      <w:pPr>
        <w:pStyle w:val="Heading1"/>
      </w:pPr>
      <w:r>
        <w:t xml:space="preserve">References</w:t>
      </w:r>
    </w:p>
    <w:bookmarkStart w:id="53" w:name="refs"/>
    <w:bookmarkStart w:id="38" w:name="ref-Pavone2023"/>
    <w:p>
      <w:pPr>
        <w:pStyle w:val="Bibliography"/>
      </w:pPr>
      <w:r>
        <w:t xml:space="preserve">1. Pavone P, Marino L, Cacciaguerra G, Di Nora A, Parano E, Musumeci G, et al.</w:t>
      </w:r>
      <w:r>
        <w:t xml:space="preserve"> </w:t>
      </w:r>
      <w:hyperlink r:id="rId37">
        <w:r>
          <w:rPr>
            <w:rStyle w:val="Hyperlink"/>
          </w:rPr>
          <w:t xml:space="preserve">Klippel-trenaunay syndrome, segmental/focal overgrowth malformations: A review</w:t>
        </w:r>
      </w:hyperlink>
      <w:r>
        <w:t xml:space="preserve">. Children (Basel). 2023;10:1421.</w:t>
      </w:r>
    </w:p>
    <w:bookmarkEnd w:id="38"/>
    <w:bookmarkStart w:id="40" w:name="ref-Tian2026"/>
    <w:p>
      <w:pPr>
        <w:pStyle w:val="Bibliography"/>
      </w:pPr>
      <w:r>
        <w:t xml:space="preserve">2. Tian Y, Yuan Y, Wei L, Xu Z, Li L, Li L.</w:t>
      </w:r>
      <w:r>
        <w:t xml:space="preserve"> </w:t>
      </w:r>
      <w:hyperlink r:id="rId39">
        <w:r>
          <w:rPr>
            <w:rStyle w:val="Hyperlink"/>
          </w:rPr>
          <w:t xml:space="preserve">Kaposiform hemangioendothelioma: Diagnosis and treatment</w:t>
        </w:r>
      </w:hyperlink>
      <w:r>
        <w:t xml:space="preserve">. Pediatric Investigation. 2026;</w:t>
      </w:r>
    </w:p>
    <w:bookmarkEnd w:id="40"/>
    <w:bookmarkStart w:id="42" w:name="ref-Akay2025"/>
    <w:p>
      <w:pPr>
        <w:pStyle w:val="Bibliography"/>
      </w:pPr>
      <w:r>
        <w:t xml:space="preserve">3. Akay E, Uzun Gül AD, Türkoğlu A.</w:t>
      </w:r>
      <w:r>
        <w:t xml:space="preserve"> </w:t>
      </w:r>
      <w:hyperlink r:id="rId4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Kanmani2021"/>
    <w:p>
      <w:pPr>
        <w:pStyle w:val="Bibliography"/>
      </w:pPr>
      <w:r>
        <w:t xml:space="preserve">5. Kanmani K, Meena M, Narmadha D, A. GV.</w:t>
      </w:r>
      <w:r>
        <w:t xml:space="preserve"> </w:t>
      </w:r>
      <w:hyperlink r:id="rId45">
        <w:r>
          <w:rPr>
            <w:rStyle w:val="Hyperlink"/>
          </w:rPr>
          <w:t xml:space="preserve">Klippel trenaunay syndrome–an obstetric challenge</w:t>
        </w:r>
      </w:hyperlink>
      <w:r>
        <w:t xml:space="preserve">. International Journal of Reproduction, Contraception, Obstetrics and Gynecology. 2021;10:2081–4.</w:t>
      </w:r>
    </w:p>
    <w:bookmarkEnd w:id="46"/>
    <w:bookmarkStart w:id="48" w:name="ref-goldenberg2025"/>
    <w:p>
      <w:pPr>
        <w:pStyle w:val="Bibliography"/>
      </w:pPr>
      <w:r>
        <w:t xml:space="preserve">6. Goldenberg DC, Vikkula M, Penington A, Blei F, Schultze-Kool L, Wassef M, et al. Updated Classification of Vascular Anomalies: A living document from the International Society for the Study of Vascular Anomalies Classification Group. Journal of Vascular Anomalies [Internet]. 2025;6:e113. Available from:</w:t>
      </w:r>
      <w:r>
        <w:t xml:space="preserve"> </w:t>
      </w:r>
      <w:hyperlink r:id="rId47">
        <w:r>
          <w:rPr>
            <w:rStyle w:val="Hyperlink"/>
          </w:rPr>
          <w:t xml:space="preserve">http://dx.doi.org/10.1097/JOVA.0000000000000113</w:t>
        </w:r>
      </w:hyperlink>
    </w:p>
    <w:bookmarkEnd w:id="48"/>
    <w:bookmarkStart w:id="50" w:name="ref-ISSVA2018"/>
    <w:p>
      <w:pPr>
        <w:pStyle w:val="Bibliography"/>
      </w:pPr>
      <w:r>
        <w:t xml:space="preserve">7. International Society for the Study of Vascular Anomalies.</w:t>
      </w:r>
      <w:r>
        <w:t xml:space="preserve"> </w:t>
      </w:r>
      <w:r>
        <w:t xml:space="preserve">ISSVA Classification for Vascular Anomalies</w:t>
      </w:r>
      <w:r>
        <w:t xml:space="preserve">.</w:t>
      </w:r>
      <w:r>
        <w:t xml:space="preserve"> </w:t>
      </w:r>
      <w:hyperlink r:id="rId49">
        <w:r>
          <w:rPr>
            <w:rStyle w:val="Hyperlink"/>
          </w:rPr>
          <w:t xml:space="preserve">https://www.issva.org/UserFiles/file/ISSVA-Classification-2018.pdf</w:t>
        </w:r>
      </w:hyperlink>
      <w:r>
        <w:t xml:space="preserve">; 2018.</w:t>
      </w:r>
    </w:p>
    <w:bookmarkEnd w:id="50"/>
    <w:bookmarkStart w:id="52" w:name="ref-Blei2024"/>
    <w:p>
      <w:pPr>
        <w:pStyle w:val="Bibliography"/>
      </w:pPr>
      <w:r>
        <w:t xml:space="preserve">8. Blei F.</w:t>
      </w:r>
      <w:r>
        <w:t xml:space="preserve"> </w:t>
      </w:r>
      <w:r>
        <w:t xml:space="preserve">Klippel-Trenaunay Syndrome: Clinical Manifestations, Diagnosis, and Management</w:t>
      </w:r>
      <w:r>
        <w:t xml:space="preserve">. UpToDate.</w:t>
      </w:r>
      <w:r>
        <w:t xml:space="preserve"> </w:t>
      </w:r>
      <w:hyperlink r:id="rId51">
        <w:r>
          <w:rPr>
            <w:rStyle w:val="Hyperlink"/>
          </w:rPr>
          <w:t xml:space="preserve">https://www.uptodate.com/contents/klippel-trenaunay-syndrome-clinical-manifestations-diagnosis-and-management</w:t>
        </w:r>
      </w:hyperlink>
      <w:r>
        <w:t xml:space="preserve">; 2024.</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dx.doi.org/10.1097/JOVA.0000000000000113" TargetMode="Externa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9" Target="https://www.issva.org/UserFiles/file/ISSVA-Classification-2018.pdf" TargetMode="External" /><Relationship Type="http://schemas.openxmlformats.org/officeDocument/2006/relationships/hyperlink" Id="rId5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7" Target="http://dx.doi.org/10.1097/JOVA.0000000000000113" TargetMode="Externa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9" Target="https://www.issva.org/UserFiles/file/ISSVA-Classification-2018.pdf" TargetMode="External" /><Relationship Type="http://schemas.openxmlformats.org/officeDocument/2006/relationships/hyperlink" Id="rId5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2026-03-05T18:36:04Z</dcterms:created>
  <dcterms:modified xsi:type="dcterms:W3CDTF">2026-03-05T18:36:04Z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