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are abnormal connections between arteries and veins in the affected limb, potentially leading to high-output cardiac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To date, only three such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 the importance of early recognition and coordinated care to optimize maternal and neonatal outcomes.</w:t>
      </w:r>
    </w:p>
    <w:bookmarkEnd w:id="14"/>
    <w:bookmarkStart w:id="17"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approximately 18 months prior to this admission.</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(128,000/µL),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management of the severe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 “bag of worms” 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laboratory investigations revealed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LMWH was resumed, in addition to tranexamic acid, 1 amp calcium, 1 amp dexamethasone, magnesium sulfate, cefepime, omeprazole, clindamycin, and intravenous paracetamol.</w:t>
      </w:r>
    </w:p>
    <w:p>
      <w:pPr>
        <w:pStyle w:val="BodyText"/>
      </w:pPr>
      <w:r>
        <w:t xml:space="preserve">On post-operative day four, laboratory investigations revealed low fibrinogen (1.4 g/L) and significantly elevated D-dimer (35.2 µg/mL FEU). These findings were suggestive of Kasabach-Merritt syndrome (KMS).</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satisfactory, abdomen was soft and lax, and skin sutures were removed; the abdominal incision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aPTT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48.90</w:t>
                  </w:r>
                </w:p>
              </w:tc>
              <w:tc>
                <w:tcPr/>
                <w:p>
                  <w:pPr>
                    <w:pStyle w:val="Compact"/>
                    <w:jc w:val="left"/>
                    <w:jc w:val="center"/>
                  </w:pPr>
                  <w:r>
                    <w:t xml:space="preserve">-</w:t>
                  </w:r>
                </w:p>
              </w:tc>
              <w:tc>
                <w:tcPr/>
                <w:p>
                  <w:pPr>
                    <w:pStyle w:val="Compact"/>
                    <w:jc w:val="left"/>
                    <w:jc w:val="center"/>
                  </w:pPr>
                  <w:r>
                    <w:t xml:space="preserve">26-40</w:t>
                  </w:r>
                </w:p>
              </w:tc>
            </w:tr>
            <w:tr>
              <w:tc>
                <w:tcPr/>
                <w:p>
                  <w:pPr>
                    <w:pStyle w:val="Compact"/>
                    <w:jc w:val="left"/>
                    <w:jc w:val="center"/>
                  </w:pPr>
                  <w:r>
                    <w:t xml:space="preserve">Fibrinogen (g/L)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2.00-4.00</w:t>
                  </w:r>
                </w:p>
              </w:tc>
            </w:tr>
            <w:tr>
              <w:tc>
                <w:tcPr/>
                <w:p>
                  <w:pPr>
                    <w:pStyle w:val="Compact"/>
                    <w:jc w:val="left"/>
                    <w:jc w:val="center"/>
                  </w:pPr>
                  <w:r>
                    <w:t xml:space="preserve">D-dimer (µg/mL FEU)</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35.2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0-0.55</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r>
              <w:tc>
                <w:tcPr/>
                <w:p>
                  <w:pPr>
                    <w:pStyle w:val="Compact"/>
                    <w:jc w:val="left"/>
                    <w:jc w:val="center"/>
                  </w:pPr>
                  <w:r>
                    <w:t xml:space="preserve">BUN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24</w:t>
                  </w:r>
                </w:p>
              </w:tc>
              <w:tc>
                <w:tcPr/>
                <w:p>
                  <w:pPr>
                    <w:pStyle w:val="Compact"/>
                    <w:jc w:val="left"/>
                    <w:jc w:val="center"/>
                  </w:pPr>
                  <w:r>
                    <w:t xml:space="preserve">-</w:t>
                  </w:r>
                </w:p>
              </w:tc>
              <w:tc>
                <w:tcPr/>
                <w:p>
                  <w:pPr>
                    <w:pStyle w:val="Compact"/>
                    <w:jc w:val="left"/>
                    <w:jc w:val="center"/>
                  </w:pPr>
                  <w:r>
                    <w:t xml:space="preserve">5–23</w:t>
                  </w:r>
                </w:p>
              </w:tc>
            </w:tr>
            <w:tr>
              <w:tc>
                <w:tcPr/>
                <w:p>
                  <w:pPr>
                    <w:pStyle w:val="Compact"/>
                    <w:jc w:val="left"/>
                    <w:jc w:val="center"/>
                  </w:pPr>
                  <w:r>
                    <w:t xml:space="preserve">Serum creatinine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0.6–1.2</w:t>
                  </w:r>
                </w:p>
              </w:tc>
            </w:tr>
          </w:tbl>
          <w:bookmarkEnd w:id="16"/>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17"/>
    <w:bookmarkStart w:id="19"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in the literature. KTS was diagnosed prior to pregnancy in two cases</w:t>
      </w:r>
      <w:r>
        <w:t xml:space="preserve"> </w:t>
      </w:r>
      <w:r>
        <w:t xml:space="preserve">[7,8]</w:t>
      </w:r>
      <w:r>
        <w:t xml:space="preserve">,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patientsrequired prolonged postoperative hospital stay.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[7]</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[8]</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[9]</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KTS complicated by KMS during pregnancy is exceedingly rare, and, to our knowledge, only three such cases have been reported in the literature.</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as in the present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post-operative hematoma and hemoperitoneum which were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postoperatively and 4500 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throughout pregnancy given the elevated risk of venous thromboembolism (VTE)</w:t>
      </w:r>
      <w:r>
        <w:t xml:space="preserve"> </w:t>
      </w:r>
      <w:r>
        <w:t xml:space="preserve">[20]</w:t>
      </w:r>
      <w:r>
        <w:t xml:space="preserve">, with regular coagulopathy monitoring and serial imaging. Postpartum management may involve anticoagulation, platelet transfusion, cryoprecipitate, fresh frozen plasma and antifibrinolytic agents such as TXA. Postpartum follow up is essential as KMS can develop or worsen after delivery and patients may require large volumes of blood products to manage the ongoing coagulopathy, but the condition is often refractory, showing minimal to no improvement despite transfusion support.</w:t>
      </w:r>
      <w:r>
        <w:t xml:space="preserve"> </w:t>
      </w:r>
      <w:r>
        <w:t xml:space="preserve">[12]</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71" w:name="references"/>
    <w:p>
      <w:pPr>
        <w:pStyle w:val="Heading1"/>
      </w:pPr>
      <w:r>
        <w:t xml:space="preserve">References</w:t>
      </w:r>
    </w:p>
    <w:bookmarkStart w:id="70"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39">
        <w:r>
          <w:rPr>
            <w:rStyle w:val="Hyperlink"/>
          </w:rPr>
          <w:t xml:space="preserve">https://www.uptodate.com/contents/klippel-trenaunay-syndrome-clinical-manifestations-diagnosis-and-management</w:t>
        </w:r>
      </w:hyperlink>
      <w:r>
        <w:t xml:space="preserve">; 2024.</w:t>
      </w:r>
    </w:p>
    <w:bookmarkEnd w:id="40"/>
    <w:bookmarkStart w:id="42" w:name="ref-Tian2026"/>
    <w:p>
      <w:pPr>
        <w:pStyle w:val="Bibliography"/>
      </w:pPr>
      <w:r>
        <w:t xml:space="preserve">6. Tian Y, Yuan Y, Wei L, Xu Z, Li L, Li L.</w:t>
      </w:r>
      <w:r>
        <w:t xml:space="preserve"> </w:t>
      </w:r>
      <w:hyperlink r:id="rId41">
        <w:r>
          <w:rPr>
            <w:rStyle w:val="Hyperlink"/>
          </w:rPr>
          <w:t xml:space="preserve">Kaposiform hemangioendothelioma: Diagnosis and treatment</w:t>
        </w:r>
      </w:hyperlink>
      <w:r>
        <w:t xml:space="preserve">. Pediatric Investigation. 2026;</w:t>
      </w:r>
    </w:p>
    <w:bookmarkEnd w:id="42"/>
    <w:bookmarkStart w:id="44" w:name="ref-Neubert1995"/>
    <w:p>
      <w:pPr>
        <w:pStyle w:val="Bibliography"/>
      </w:pPr>
      <w:r>
        <w:t xml:space="preserve">7.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8.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Start w:id="48"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47">
        <w:r>
          <w:rPr>
            <w:rStyle w:val="Hyperlink"/>
          </w:rPr>
          <w:t xml:space="preserve">http://dx.doi.org/10.1097/MD.0000000000018378</w:t>
        </w:r>
      </w:hyperlink>
    </w:p>
    <w:bookmarkEnd w:id="48"/>
    <w:bookmarkStart w:id="50"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49">
        <w:r>
          <w:rPr>
            <w:rStyle w:val="Hyperlink"/>
          </w:rPr>
          <w:t xml:space="preserve">http://dx.doi.org/10.1111/1471-0528.14698</w:t>
        </w:r>
      </w:hyperlink>
    </w:p>
    <w:bookmarkEnd w:id="50"/>
    <w:bookmarkStart w:id="52"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51">
        <w:r>
          <w:rPr>
            <w:rStyle w:val="Hyperlink"/>
          </w:rPr>
          <w:t xml:space="preserve">http://dx.doi.org/10.1016/S0025-6196(11)63615-X</w:t>
        </w:r>
      </w:hyperlink>
    </w:p>
    <w:bookmarkEnd w:id="52"/>
    <w:bookmarkStart w:id="54"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3">
        <w:r>
          <w:rPr>
            <w:rStyle w:val="Hyperlink"/>
          </w:rPr>
          <w:t xml:space="preserve">http://dx.doi.org/10.1002/ijgo.15889</w:t>
        </w:r>
      </w:hyperlink>
    </w:p>
    <w:bookmarkEnd w:id="54"/>
    <w:bookmarkStart w:id="56"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5">
        <w:r>
          <w:rPr>
            <w:rStyle w:val="Hyperlink"/>
          </w:rPr>
          <w:t xml:space="preserve">http://dx.doi.org/10.1016/j.jaad.2019.04.018</w:t>
        </w:r>
      </w:hyperlink>
    </w:p>
    <w:bookmarkEnd w:id="56"/>
    <w:bookmarkStart w:id="58" w:name="ref-Akay2025"/>
    <w:p>
      <w:pPr>
        <w:pStyle w:val="Bibliography"/>
      </w:pPr>
      <w:r>
        <w:t xml:space="preserve">14. Akay E, Uzun Gül AD, Türkoğlu A.</w:t>
      </w:r>
      <w:r>
        <w:t xml:space="preserve"> </w:t>
      </w:r>
      <w:hyperlink r:id="rId57">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8"/>
    <w:bookmarkStart w:id="60"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9">
        <w:r>
          <w:rPr>
            <w:rStyle w:val="Hyperlink"/>
          </w:rPr>
          <w:t xml:space="preserve">http://dx.doi.org/10.7759/cureus.90065</w:t>
        </w:r>
      </w:hyperlink>
    </w:p>
    <w:bookmarkEnd w:id="60"/>
    <w:bookmarkStart w:id="62"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61">
        <w:r>
          <w:rPr>
            <w:rStyle w:val="Hyperlink"/>
          </w:rPr>
          <w:t xml:space="preserve">http://dx.doi.org/10.1177/1179545X17699849</w:t>
        </w:r>
      </w:hyperlink>
    </w:p>
    <w:bookmarkEnd w:id="62"/>
    <w:bookmarkStart w:id="64"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63">
        <w:r>
          <w:rPr>
            <w:rStyle w:val="Hyperlink"/>
          </w:rPr>
          <w:t xml:space="preserve">http://dx.doi.org/10.1016/0720-048x(94)90340-9</w:t>
        </w:r>
      </w:hyperlink>
    </w:p>
    <w:bookmarkEnd w:id="64"/>
    <w:bookmarkStart w:id="66"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65">
        <w:r>
          <w:rPr>
            <w:rStyle w:val="Hyperlink"/>
          </w:rPr>
          <w:t xml:space="preserve">http://dx.doi.org/10.7759/cureus.8023</w:t>
        </w:r>
      </w:hyperlink>
    </w:p>
    <w:bookmarkEnd w:id="66"/>
    <w:bookmarkStart w:id="68"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67">
        <w:r>
          <w:rPr>
            <w:rStyle w:val="Hyperlink"/>
          </w:rPr>
          <w:t xml:space="preserve">http://dx.doi.org/10.1177/1753495X17719181</w:t>
        </w:r>
      </w:hyperlink>
    </w:p>
    <w:bookmarkEnd w:id="68"/>
    <w:bookmarkStart w:id="69"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5">
        <w:r>
          <w:rPr>
            <w:rStyle w:val="Hyperlink"/>
          </w:rPr>
          <w:t xml:space="preserve">http://dx.doi.org/10.1016/j.jaad.2019.04.018</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3"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51" Target="http://dx.doi.org/10.1016/S0025-6196(11)63615-X" TargetMode="External" /><Relationship Type="http://schemas.openxmlformats.org/officeDocument/2006/relationships/hyperlink" Id="rId55" Target="http://dx.doi.org/10.1016/j.jaad.2019.04.018" TargetMode="External" /><Relationship Type="http://schemas.openxmlformats.org/officeDocument/2006/relationships/hyperlink" Id="rId47" Target="http://dx.doi.org/10.1097/MD.0000000000018378" TargetMode="External" /><Relationship Type="http://schemas.openxmlformats.org/officeDocument/2006/relationships/hyperlink" Id="rId49" Target="http://dx.doi.org/10.1111/1471-0528.14698" TargetMode="External" /><Relationship Type="http://schemas.openxmlformats.org/officeDocument/2006/relationships/hyperlink" Id="rId61"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59" Target="http://dx.doi.org/10.7759/cureus.90065" TargetMode="External" /><Relationship Type="http://schemas.openxmlformats.org/officeDocument/2006/relationships/hyperlink" Id="rId41"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57"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39"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3"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51" Target="http://dx.doi.org/10.1016/S0025-6196(11)63615-X" TargetMode="External" /><Relationship Type="http://schemas.openxmlformats.org/officeDocument/2006/relationships/hyperlink" Id="rId55" Target="http://dx.doi.org/10.1016/j.jaad.2019.04.018" TargetMode="External" /><Relationship Type="http://schemas.openxmlformats.org/officeDocument/2006/relationships/hyperlink" Id="rId47" Target="http://dx.doi.org/10.1097/MD.0000000000018378" TargetMode="External" /><Relationship Type="http://schemas.openxmlformats.org/officeDocument/2006/relationships/hyperlink" Id="rId49" Target="http://dx.doi.org/10.1111/1471-0528.14698" TargetMode="External" /><Relationship Type="http://schemas.openxmlformats.org/officeDocument/2006/relationships/hyperlink" Id="rId61"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59" Target="http://dx.doi.org/10.7759/cureus.90065" TargetMode="External" /><Relationship Type="http://schemas.openxmlformats.org/officeDocument/2006/relationships/hyperlink" Id="rId41"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57"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39"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2026-04-20T10:18:57Z</dcterms:created>
  <dcterms:modified xsi:type="dcterms:W3CDTF">2026-04-20T10:18:57Z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