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 KTS is currently classified within the PIK3CA-Related Overgrowth Spectrum (PROS), a group of overgrowth syndromes with overlapping phenotypic features that share mutations in the PIK3CA gene. KTS, also referred to as capillary-lymphatic-venous malformation,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[5]</w:t>
      </w:r>
      <w:r>
        <w:t xml:space="preserve"> </w:t>
      </w: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[6]</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[7]</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[8]</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[9]</w:t>
      </w:r>
      <w:r>
        <w:t xml:space="preserve">.</w:t>
      </w:r>
    </w:p>
    <w:p>
      <w:pPr>
        <w:pStyle w:val="BodyText"/>
      </w:pPr>
      <w:r>
        <w:t xml:space="preserve">To date, only three cases of KTS complicated by KMS in pregnancy have been documented in the literature</w:t>
      </w:r>
      <w:r>
        <w:t xml:space="preserve"> </w:t>
      </w:r>
      <w:r>
        <w:t xml:space="preserve">[10–12]</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7"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hyperlink w:anchor="tbl-1">
        <w:r>
          <w:rPr>
            <w:rStyle w:val="Hyperlink"/>
          </w:rPr>
          <w:t xml:space="preserve">Table 1</w:t>
        </w:r>
      </w:hyperlink>
      <w:r>
        <w:t xml:space="preserve">.</w:t>
      </w:r>
    </w:p>
    <w:p>
      <w:pPr>
        <w:pStyle w:val="BodyText"/>
      </w:pPr>
      <w:r>
        <w:t xml:space="preserve">Her background was notable for Klippel-Trenaunay syndrome (KTS), diagnosed at age two, with involvement of both lower limbs,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cesarean delivery was performed under general endotracheal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 @tbl-2.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Conservative management was elected by the attending consultant and departmental head. The pharmacological regimen was revised to include resumed LMWH, tranexamic acid, calcium,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aPTT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48.90</w:t>
                  </w:r>
                </w:p>
              </w:tc>
              <w:tc>
                <w:tcPr/>
                <w:p>
                  <w:pPr>
                    <w:pStyle w:val="Compact"/>
                    <w:jc w:val="left"/>
                    <w:jc w:val="center"/>
                  </w:pPr>
                  <w:r>
                    <w:t xml:space="preserve">-</w:t>
                  </w:r>
                </w:p>
              </w:tc>
              <w:tc>
                <w:tcPr/>
                <w:p>
                  <w:pPr>
                    <w:pStyle w:val="Compact"/>
                    <w:jc w:val="left"/>
                    <w:jc w:val="center"/>
                  </w:pPr>
                  <w:r>
                    <w:t xml:space="preserve">26-40</w:t>
                  </w:r>
                </w:p>
              </w:tc>
            </w:tr>
            <w:tr>
              <w:tc>
                <w:tcPr/>
                <w:p>
                  <w:pPr>
                    <w:pStyle w:val="Compact"/>
                    <w:jc w:val="left"/>
                    <w:jc w:val="center"/>
                  </w:pPr>
                  <w:r>
                    <w:t xml:space="preserve">Fibrinogen (g/L)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2.00-4.00</w:t>
                  </w:r>
                </w:p>
              </w:tc>
            </w:tr>
            <w:tr>
              <w:tc>
                <w:tcPr/>
                <w:p>
                  <w:pPr>
                    <w:pStyle w:val="Compact"/>
                    <w:jc w:val="left"/>
                    <w:jc w:val="center"/>
                  </w:pPr>
                  <w:r>
                    <w:t xml:space="preserve">D-dimer (µg/mL FEU)</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35.2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0-0.55</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r>
              <w:tc>
                <w:tcPr/>
                <w:p>
                  <w:pPr>
                    <w:pStyle w:val="Compact"/>
                    <w:jc w:val="left"/>
                    <w:jc w:val="center"/>
                  </w:pPr>
                  <w:r>
                    <w:t xml:space="preserve">BUN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24</w:t>
                  </w:r>
                </w:p>
              </w:tc>
              <w:tc>
                <w:tcPr/>
                <w:p>
                  <w:pPr>
                    <w:pStyle w:val="Compact"/>
                    <w:jc w:val="left"/>
                    <w:jc w:val="center"/>
                  </w:pPr>
                  <w:r>
                    <w:t xml:space="preserve">-</w:t>
                  </w:r>
                </w:p>
              </w:tc>
              <w:tc>
                <w:tcPr/>
                <w:p>
                  <w:pPr>
                    <w:pStyle w:val="Compact"/>
                    <w:jc w:val="left"/>
                    <w:jc w:val="center"/>
                  </w:pPr>
                  <w:r>
                    <w:t xml:space="preserve">5–23</w:t>
                  </w:r>
                </w:p>
              </w:tc>
            </w:tr>
            <w:tr>
              <w:tc>
                <w:tcPr/>
                <w:p>
                  <w:pPr>
                    <w:pStyle w:val="Compact"/>
                    <w:jc w:val="left"/>
                    <w:jc w:val="center"/>
                  </w:pPr>
                  <w:r>
                    <w:t xml:space="preserve">Serum creatinine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0.6–1.2</w:t>
                  </w:r>
                </w:p>
              </w:tc>
            </w:tr>
          </w:tbl>
          <w:bookmarkEnd w:id="16"/>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17"/>
    <w:bookmarkStart w:id="19"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[10,11]</w:t>
      </w:r>
      <w:r>
        <w:t xml:space="preserve">, whereas in the third it had been misdiagnosed as acromegaly and was not recognized until the final trimester</w:t>
      </w:r>
      <w:r>
        <w:t xml:space="preserve"> </w:t>
      </w:r>
      <w:r>
        <w:t xml:space="preserve">[12]</w:t>
      </w:r>
      <w:r>
        <w:t xml:space="preserve">. All cases presented with classic KTS features — multiple varicosities, limb hypertrophy, and hemangiomas — with one additionally demonstrating port-wine stains</w:t>
      </w:r>
      <w:r>
        <w:t xml:space="preserve"> </w:t>
      </w:r>
      <w:r>
        <w:t xml:space="preserve">[12]</w:t>
      </w:r>
      <w:r>
        <w:t xml:space="preserve">. Despite treatment, postpartum laboratory parameters failed to normalize, indicating refractory coagulopathy consistent with KMS.</w:t>
      </w:r>
    </w:p>
    <w:p>
      <w:pPr>
        <w:pStyle w:val="BodyText"/>
      </w:pPr>
      <w:r>
        <w:t xml:space="preserve">All three patients had marked vulvar varicosities necessitating cesarean delivery, with intraoperative or postoperative hemorrhage requiring multiple transfusions; two required massive transfusion protocols</w:t>
      </w:r>
      <w:r>
        <w:t xml:space="preserve"> </w:t>
      </w:r>
      <w:r>
        <w:t xml:space="preserve">[10,12]</w:t>
      </w:r>
      <w:r>
        <w:t xml:space="preserve">. Management followed a multidisciplinary approach in all cases, incorporating anticoagulation and blood product support. Two cases received corticosteroids and antifibrinolytics</w:t>
      </w:r>
      <w:r>
        <w:t xml:space="preserve"> </w:t>
      </w:r>
      <w:r>
        <w:t xml:space="preserve">[10,11]</w:t>
      </w:r>
      <w:r>
        <w:t xml:space="preserve">. One patient developed life-threatening hemorrhage requiring postpartum hysterectomy, complicated further by DIC, sepsis, peritonitis, and hemoperitoneum necessitating emergency laparotomy</w:t>
      </w:r>
      <w:r>
        <w:t xml:space="preserve"> </w:t>
      </w:r>
      <w:r>
        <w:t xml:space="preserve">[12]</w:t>
      </w:r>
      <w:r>
        <w:t xml:space="preserve">. All patients required prolonged postoperative hospitalization. None of the neonates demonstrated clinical or laboratory evidence of KTS.</w:t>
      </w:r>
    </w:p>
    <w:p>
      <w:pPr>
        <w:pStyle w:val="BodyText"/>
      </w:pPr>
      <w:r>
        <w:t xml:space="preserve">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[10]</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[11]</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[12]</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KTS complicated by KMS during pregnancy is exceedingly rare, and, to our knowledge, only three such cases have been reported in the literature.</w:t>
      </w:r>
      <w:r>
        <w:t xml:space="preserve"> </w:t>
      </w:r>
      <w:r>
        <w:t xml:space="preserve">[10–12]</w:t>
      </w:r>
    </w:p>
    <w:p>
      <w:pPr>
        <w:pStyle w:val="BodyText"/>
      </w:pPr>
      <w:r>
        <w:t xml:space="preserve">Morbidity in KTS is driven predominantly by thromboembolism and hemorrhage, and pregnancy may substantially increase these risks. Nevertheless, robust evidence guiding pregnancy management in this population remains scarce. A cross-sectional study enrolling sixty adult women with KTS demonstrated significantly increased rates of pregnancy-associated deep vein thrombosis, pulmonary embolism, and severe postpartum hemorrhage relative to the general population, with nearly half of participants reporting concurrent exacerbation of KTS-related symptoms</w:t>
      </w:r>
      <w:r>
        <w:t xml:space="preserve"> </w:t>
      </w:r>
      <w:r>
        <w:t xml:space="preserve">[13]</w:t>
      </w:r>
      <w:r>
        <w:t xml:space="preserve">. These findings contrast with those of a comparative study in which pregnant women with KTS showed no significant difference in thromboembolic or bleeding risk compared with their nulligravid counterparts</w:t>
      </w:r>
      <w:r>
        <w:t xml:space="preserve"> </w:t>
      </w:r>
      <w:r>
        <w:t xml:space="preserve">[14]</w:t>
      </w:r>
      <w:r>
        <w:t xml:space="preserve">; however, the authors acknowledged that women with more severe KTS may have been selectively discouraged from pregnancy, introducing potential selection bias.</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[15]</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[15,16]</w:t>
      </w:r>
    </w:p>
    <w:p>
      <w:pPr>
        <w:pStyle w:val="BodyText"/>
      </w:pPr>
      <w:r>
        <w:t xml:space="preserve">Patients commonly present with persistent bleeding and thrombocytopenia refractory to blood products. Our patient developed post-operative hematoma and hemoperitoneum which were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postoperatively and 4500 mL of blood through vaginal bleeding on day 10 postpartum, necessitating a hysterectomy and abdominal gauze packing.</w:t>
      </w:r>
      <w:r>
        <w:t xml:space="preserve">[12]</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[16]</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throughout pregnancy given the elevated risk of venous thromboembolism (VTE)</w:t>
      </w:r>
      <w:r>
        <w:t xml:space="preserve"> </w:t>
      </w:r>
      <w:r>
        <w:t xml:space="preserve">[20]</w:t>
      </w:r>
      <w:r>
        <w:t xml:space="preserve">, with regular coagulopathy monitoring and serial imaging. Postpartum management may involve anticoagulation, platelet transfusion, cryoprecipitate, fresh frozen plasma and antifibrinolytic agents such as TXA. Postpartum follow up is essential as KMS can develop or worsen after delivery and patients may require large volumes of blood products to manage the ongoing coagulopathy, but the condition is often refractory, showing minimal to no improvement despite transfusion support.</w:t>
      </w:r>
      <w:r>
        <w:t xml:space="preserve"> </w:t>
      </w:r>
      <w:r>
        <w:t xml:space="preserve">[13]</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71" w:name="references"/>
    <w:p>
      <w:pPr>
        <w:pStyle w:val="Heading1"/>
      </w:pPr>
      <w:r>
        <w:t xml:space="preserve">References</w:t>
      </w:r>
    </w:p>
    <w:bookmarkStart w:id="70"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horbach2017"/>
    <w:p>
      <w:pPr>
        <w:pStyle w:val="Bibliography"/>
      </w:pPr>
      <w:r>
        <w:t xml:space="preserve">5.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39">
        <w:r>
          <w:rPr>
            <w:rStyle w:val="Hyperlink"/>
          </w:rPr>
          <w:t xml:space="preserve">http://dx.doi.org/10.1111/1471-0528.14698</w:t>
        </w:r>
      </w:hyperlink>
    </w:p>
    <w:bookmarkEnd w:id="40"/>
    <w:bookmarkStart w:id="42" w:name="ref-Jacob1998"/>
    <w:p>
      <w:pPr>
        <w:pStyle w:val="Bibliography"/>
      </w:pPr>
      <w:r>
        <w:t xml:space="preserve">6. Jacob AG, Driscoll DJ, Shaughnessy WJ, Stanson AW, Clay RP, Gloviczki P. Klippel-trénaunay syndrome: Spectrum and management. Mayo Clinic Proceedings [Internet]. 1998;73:28–36. Available from:</w:t>
      </w:r>
      <w:r>
        <w:t xml:space="preserve"> </w:t>
      </w:r>
      <w:hyperlink r:id="rId41">
        <w:r>
          <w:rPr>
            <w:rStyle w:val="Hyperlink"/>
          </w:rPr>
          <w:t xml:space="preserve">http://dx.doi.org/10.1016/S0025-6196(11)63615-X</w:t>
        </w:r>
      </w:hyperlink>
    </w:p>
    <w:bookmarkEnd w:id="42"/>
    <w:bookmarkStart w:id="44" w:name="ref-Blei2024"/>
    <w:p>
      <w:pPr>
        <w:pStyle w:val="Bibliography"/>
      </w:pPr>
      <w:r>
        <w:t xml:space="preserve">7. Blei F.</w:t>
      </w:r>
      <w:r>
        <w:t xml:space="preserve"> </w:t>
      </w:r>
      <w:r>
        <w:t xml:space="preserve">Klippel-Trenaunay Syndrome: Clinical Manifestations, Diagnosis, and Management</w:t>
      </w:r>
      <w:r>
        <w:t xml:space="preserve">. UpToDate.</w:t>
      </w:r>
      <w:r>
        <w:t xml:space="preserve"> </w:t>
      </w:r>
      <w:hyperlink r:id="rId43">
        <w:r>
          <w:rPr>
            <w:rStyle w:val="Hyperlink"/>
          </w:rPr>
          <w:t xml:space="preserve">https://www.uptodate.com/contents/klippel-trenaunay-syndrome-clinical-manifestations-diagnosis-and-management</w:t>
        </w:r>
      </w:hyperlink>
      <w:r>
        <w:t xml:space="preserve">; 2024.</w:t>
      </w:r>
    </w:p>
    <w:bookmarkEnd w:id="44"/>
    <w:bookmarkStart w:id="46" w:name="ref-Mahajan2017"/>
    <w:p>
      <w:pPr>
        <w:pStyle w:val="Bibliography"/>
      </w:pPr>
      <w:r>
        <w:t xml:space="preserve">8. Mahajan P, Margolin J, Iacobas I. Kasabach-merritt phenomenon: Classic presentation and management options. Clinical Medicine Insights: Blood Disorders [Internet]. 2017;10:1179545X1769984. Available from:</w:t>
      </w:r>
      <w:r>
        <w:t xml:space="preserve"> </w:t>
      </w:r>
      <w:hyperlink r:id="rId45">
        <w:r>
          <w:rPr>
            <w:rStyle w:val="Hyperlink"/>
          </w:rPr>
          <w:t xml:space="preserve">http://dx.doi.org/10.1177/1179545X17699849</w:t>
        </w:r>
      </w:hyperlink>
    </w:p>
    <w:bookmarkEnd w:id="46"/>
    <w:bookmarkStart w:id="48" w:name="ref-Tian2026"/>
    <w:p>
      <w:pPr>
        <w:pStyle w:val="Bibliography"/>
      </w:pPr>
      <w:r>
        <w:t xml:space="preserve">9. Tian Y, Yuan Y, Wei L, Xu Z, Li L, Li L.</w:t>
      </w:r>
      <w:r>
        <w:t xml:space="preserve"> </w:t>
      </w:r>
      <w:hyperlink r:id="rId47">
        <w:r>
          <w:rPr>
            <w:rStyle w:val="Hyperlink"/>
          </w:rPr>
          <w:t xml:space="preserve">Kaposiform hemangioendothelioma: Diagnosis and treatment</w:t>
        </w:r>
      </w:hyperlink>
      <w:r>
        <w:t xml:space="preserve">. Pediatric Investigation. 2026;</w:t>
      </w:r>
    </w:p>
    <w:bookmarkEnd w:id="48"/>
    <w:bookmarkStart w:id="50" w:name="ref-Neubert1995"/>
    <w:p>
      <w:pPr>
        <w:pStyle w:val="Bibliography"/>
      </w:pPr>
      <w:r>
        <w:t xml:space="preserve">10. Neubert GA, Golden MA, Rose NC.</w:t>
      </w:r>
      <w:r>
        <w:t xml:space="preserve"> </w:t>
      </w:r>
      <w:hyperlink r:id="rId49">
        <w:r>
          <w:rPr>
            <w:rStyle w:val="Hyperlink"/>
          </w:rPr>
          <w:t xml:space="preserve">Kasabach-merritt coagulopathy complicating klippel-trenaunay-weber syndrome in pregnancy</w:t>
        </w:r>
      </w:hyperlink>
      <w:r>
        <w:t xml:space="preserve">. Obstetrics &amp; Gynecology. 1995;85:831–3.</w:t>
      </w:r>
    </w:p>
    <w:bookmarkEnd w:id="50"/>
    <w:bookmarkStart w:id="52" w:name="ref-Kanmani2021"/>
    <w:p>
      <w:pPr>
        <w:pStyle w:val="Bibliography"/>
      </w:pPr>
      <w:r>
        <w:t xml:space="preserve">11. Kanmani K, Meena M, Narmadha D, A. GV.</w:t>
      </w:r>
      <w:r>
        <w:t xml:space="preserve"> </w:t>
      </w:r>
      <w:hyperlink r:id="rId51">
        <w:r>
          <w:rPr>
            <w:rStyle w:val="Hyperlink"/>
          </w:rPr>
          <w:t xml:space="preserve">Klippel trenaunay syndrome–an obstetric challenge</w:t>
        </w:r>
      </w:hyperlink>
      <w:r>
        <w:t xml:space="preserve">. International Journal of Reproduction, Contraception, Obstetrics and Gynecology. 2021;10:2081–4.</w:t>
      </w:r>
    </w:p>
    <w:bookmarkEnd w:id="52"/>
    <w:bookmarkStart w:id="54" w:name="ref-zhang2019"/>
    <w:p>
      <w:pPr>
        <w:pStyle w:val="Bibliography"/>
      </w:pPr>
      <w:r>
        <w:t xml:space="preserve">12. Zhang J, Wang K, Mei J. Late puerperal hemorrhage of a patient with klippel</w:t>
      </w:r>
      <w:r>
        <w:t xml:space="preserve">trenaunay syndrome. Medicine [Internet]. 2019;98:e18378. Available from:</w:t>
      </w:r>
      <w:r>
        <w:t xml:space="preserve"> </w:t>
      </w:r>
      <w:hyperlink r:id="rId53">
        <w:r>
          <w:rPr>
            <w:rStyle w:val="Hyperlink"/>
          </w:rPr>
          <w:t xml:space="preserve">http://dx.doi.org/10.1097/MD.0000000000018378</w:t>
        </w:r>
      </w:hyperlink>
    </w:p>
    <w:bookmarkEnd w:id="54"/>
    <w:bookmarkStart w:id="56" w:name="ref-silvacorreia2024"/>
    <w:p>
      <w:pPr>
        <w:pStyle w:val="Bibliography"/>
      </w:pPr>
      <w:r>
        <w:t xml:space="preserve">13.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5">
        <w:r>
          <w:rPr>
            <w:rStyle w:val="Hyperlink"/>
          </w:rPr>
          <w:t xml:space="preserve">http://dx.doi.org/10.1002/ijgo.15889</w:t>
        </w:r>
      </w:hyperlink>
    </w:p>
    <w:bookmarkEnd w:id="56"/>
    <w:bookmarkStart w:id="58" w:name="ref-Marvin2019"/>
    <w:p>
      <w:pPr>
        <w:pStyle w:val="Bibliography"/>
      </w:pPr>
      <w:r>
        <w:t xml:space="preserve">14.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7">
        <w:r>
          <w:rPr>
            <w:rStyle w:val="Hyperlink"/>
          </w:rPr>
          <w:t xml:space="preserve">http://dx.doi.org/10.1016/j.jaad.2019.04.018</w:t>
        </w:r>
      </w:hyperlink>
    </w:p>
    <w:bookmarkEnd w:id="58"/>
    <w:bookmarkStart w:id="60" w:name="ref-Akay2025"/>
    <w:p>
      <w:pPr>
        <w:pStyle w:val="Bibliography"/>
      </w:pPr>
      <w:r>
        <w:t xml:space="preserve">15. Akay E, Uzun Gül AD, Türkoğlu A.</w:t>
      </w:r>
      <w:r>
        <w:t xml:space="preserve"> </w:t>
      </w:r>
      <w:hyperlink r:id="rId59">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0"/>
    <w:bookmarkStart w:id="62" w:name="ref-Chang2025"/>
    <w:p>
      <w:pPr>
        <w:pStyle w:val="Bibliography"/>
      </w:pPr>
      <w:r>
        <w:t xml:space="preserve">16.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61">
        <w:r>
          <w:rPr>
            <w:rStyle w:val="Hyperlink"/>
          </w:rPr>
          <w:t xml:space="preserve">http://dx.doi.org/10.7759/cureus.90065</w:t>
        </w:r>
      </w:hyperlink>
    </w:p>
    <w:bookmarkEnd w:id="62"/>
    <w:bookmarkStart w:id="64"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63">
        <w:r>
          <w:rPr>
            <w:rStyle w:val="Hyperlink"/>
          </w:rPr>
          <w:t xml:space="preserve">http://dx.doi.org/10.1016/0720-048x(94)90340-9</w:t>
        </w:r>
      </w:hyperlink>
    </w:p>
    <w:bookmarkEnd w:id="64"/>
    <w:bookmarkStart w:id="66"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65">
        <w:r>
          <w:rPr>
            <w:rStyle w:val="Hyperlink"/>
          </w:rPr>
          <w:t xml:space="preserve">http://dx.doi.org/10.7759/cureus.8023</w:t>
        </w:r>
      </w:hyperlink>
    </w:p>
    <w:bookmarkEnd w:id="66"/>
    <w:bookmarkStart w:id="68"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67">
        <w:r>
          <w:rPr>
            <w:rStyle w:val="Hyperlink"/>
          </w:rPr>
          <w:t xml:space="preserve">http://dx.doi.org/10.1177/1753495X17719181</w:t>
        </w:r>
      </w:hyperlink>
    </w:p>
    <w:bookmarkEnd w:id="68"/>
    <w:bookmarkStart w:id="69"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7">
        <w:r>
          <w:rPr>
            <w:rStyle w:val="Hyperlink"/>
          </w:rPr>
          <w:t xml:space="preserve">http://dx.doi.org/10.1016/j.jaad.2019.04.018</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5"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41" Target="http://dx.doi.org/10.1016/S0025-6196(11)63615-X" TargetMode="External" /><Relationship Type="http://schemas.openxmlformats.org/officeDocument/2006/relationships/hyperlink" Id="rId57" Target="http://dx.doi.org/10.1016/j.jaad.2019.04.018" TargetMode="External" /><Relationship Type="http://schemas.openxmlformats.org/officeDocument/2006/relationships/hyperlink" Id="rId53" Target="http://dx.doi.org/10.1097/MD.0000000000018378" TargetMode="External" /><Relationship Type="http://schemas.openxmlformats.org/officeDocument/2006/relationships/hyperlink" Id="rId39" Target="http://dx.doi.org/10.1111/1471-0528.14698" TargetMode="External" /><Relationship Type="http://schemas.openxmlformats.org/officeDocument/2006/relationships/hyperlink" Id="rId45"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61" Target="http://dx.doi.org/10.7759/cureus.90065" TargetMode="External" /><Relationship Type="http://schemas.openxmlformats.org/officeDocument/2006/relationships/hyperlink" Id="rId47" Target="https://doi.org/10.1002/ped4.70041" TargetMode="External" /><Relationship Type="http://schemas.openxmlformats.org/officeDocument/2006/relationships/hyperlink" Id="rId49" Target="https://doi.org/10.1016/0029-7844(94)00349-I" TargetMode="External" /><Relationship Type="http://schemas.openxmlformats.org/officeDocument/2006/relationships/hyperlink" Id="rId59" Target="https://doi.org/10.1186/s12884-025-07540-0" TargetMode="External" /><Relationship Type="http://schemas.openxmlformats.org/officeDocument/2006/relationships/hyperlink" Id="rId51"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3"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5"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41" Target="http://dx.doi.org/10.1016/S0025-6196(11)63615-X" TargetMode="External" /><Relationship Type="http://schemas.openxmlformats.org/officeDocument/2006/relationships/hyperlink" Id="rId57" Target="http://dx.doi.org/10.1016/j.jaad.2019.04.018" TargetMode="External" /><Relationship Type="http://schemas.openxmlformats.org/officeDocument/2006/relationships/hyperlink" Id="rId53" Target="http://dx.doi.org/10.1097/MD.0000000000018378" TargetMode="External" /><Relationship Type="http://schemas.openxmlformats.org/officeDocument/2006/relationships/hyperlink" Id="rId39" Target="http://dx.doi.org/10.1111/1471-0528.14698" TargetMode="External" /><Relationship Type="http://schemas.openxmlformats.org/officeDocument/2006/relationships/hyperlink" Id="rId45"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61" Target="http://dx.doi.org/10.7759/cureus.90065" TargetMode="External" /><Relationship Type="http://schemas.openxmlformats.org/officeDocument/2006/relationships/hyperlink" Id="rId47" Target="https://doi.org/10.1002/ped4.70041" TargetMode="External" /><Relationship Type="http://schemas.openxmlformats.org/officeDocument/2006/relationships/hyperlink" Id="rId49" Target="https://doi.org/10.1016/0029-7844(94)00349-I" TargetMode="External" /><Relationship Type="http://schemas.openxmlformats.org/officeDocument/2006/relationships/hyperlink" Id="rId59" Target="https://doi.org/10.1186/s12884-025-07540-0" TargetMode="External" /><Relationship Type="http://schemas.openxmlformats.org/officeDocument/2006/relationships/hyperlink" Id="rId51"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3"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2026-04-20T16:08:45Z</dcterms:created>
  <dcterms:modified xsi:type="dcterms:W3CDTF">2026-04-20T16:08:45Z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