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5"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 .</w:t>
      </w:r>
    </w:p>
    <w:p>
      <w:pPr>
        <w:pStyle w:val="BodyText"/>
      </w:pPr>
      <w:r>
        <w:t xml:space="preserve">Her past medical history is notable for Klippel–Trenaunay syndrome (KTS), diagnosed at two years of age, with multisystem involvement affecting both lower extremities as well as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r>
        <w:rPr>
          <w:b/>
          <w:bCs/>
        </w:rPr>
        <w:t xml:space="preserve">?@tbl-2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p>
      <w:pPr>
        <w:pStyle w:val="TableCaption"/>
      </w:pPr>
      <w:r>
        <w:t xml:space="preserve">Patient timeline</w:t>
      </w:r>
    </w:p>
    <w:tbl>
      <w:tblPr>
        <w:tblStyle w:val="Table"/>
        <w:tblW w:type="pct" w:w="5000"/>
        <w:tblLayout w:type="fixed"/>
        <w:tblLook w:firstRow="1" w:lastRow="0" w:firstColumn="0" w:lastColumn="0" w:noHBand="0" w:noVBand="0" w:val="0020"/>
        <w:tblCaption w:val="Patient timeline"/>
      </w:tblPr>
      <w:tblGrid>
        <w:gridCol w:w="2210"/>
        <w:gridCol w:w="5709"/>
      </w:tblGrid>
      <w:tr>
        <w:trPr>
          <w:tblHeader w:val="on"/>
        </w:trPr>
        <w:tc>
          <w:tcPr/>
          <w:p>
            <w:pPr>
              <w:pStyle w:val="Compact"/>
              <w:jc w:val="left"/>
            </w:pPr>
            <w:r>
              <w:t xml:space="preserve">Date</w:t>
            </w:r>
          </w:p>
        </w:tc>
        <w:tc>
          <w:tcPr/>
          <w:p>
            <w:pPr>
              <w:pStyle w:val="Compact"/>
              <w:jc w:val="left"/>
            </w:pPr>
            <w:r>
              <w:t xml:space="preserve">Timeline</w:t>
            </w:r>
          </w:p>
        </w:tc>
      </w:tr>
      <w:tr>
        <w:tc>
          <w:tcPr/>
          <w:p>
            <w:pPr>
              <w:pStyle w:val="Compact"/>
              <w:jc w:val="left"/>
            </w:pPr>
            <w:r>
              <w:t xml:space="preserve">30 +1 weeks’ gestation (Dec 16, 2025)</w:t>
            </w:r>
          </w:p>
        </w:tc>
        <w:tc>
          <w:tcPr/>
          <w:p>
            <w:pPr>
              <w:pStyle w:val="Compact"/>
              <w:jc w:val="left"/>
            </w:pPr>
            <w:r>
              <w:t xml:space="preserve">Admission of a case of KTS, presenting with hematuria; anemia and thrombocytopenia; fetus &lt;10th percentile, received tranexamic acid and 6 units PRBCs.</w:t>
            </w:r>
          </w:p>
        </w:tc>
      </w:tr>
      <w:tr>
        <w:tc>
          <w:tcPr/>
          <w:p>
            <w:pPr>
              <w:pStyle w:val="Compact"/>
              <w:jc w:val="left"/>
            </w:pPr>
            <w:r>
              <w:t xml:space="preserve">30+1 to 35 weeks’ gestation (Dec 18, 2025 – Jan 17, 2026)</w:t>
            </w:r>
          </w:p>
        </w:tc>
        <w:tc>
          <w:tcPr/>
          <w:p>
            <w:pPr>
              <w:pStyle w:val="Compact"/>
              <w:jc w:val="left"/>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pPr>
            <w:r>
              <w:t xml:space="preserve">35 weeks (Jan 18, 2026)</w:t>
            </w:r>
          </w:p>
        </w:tc>
        <w:tc>
          <w:tcPr/>
          <w:p>
            <w:pPr>
              <w:pStyle w:val="Compact"/>
              <w:jc w:val="left"/>
            </w:pPr>
            <w:r>
              <w:t xml:space="preserve">Emergency cesarean section for fetal compromise → female neonate (1900 g). Mother admitted to ICU, hemoperitoneum managed conservatively.</w:t>
            </w:r>
          </w:p>
        </w:tc>
      </w:tr>
      <w:tr>
        <w:tc>
          <w:tcPr/>
          <w:p>
            <w:pPr>
              <w:pStyle w:val="Compact"/>
              <w:jc w:val="left"/>
            </w:pPr>
            <w:r>
              <w:t xml:space="preserve">Postoperative course</w:t>
            </w:r>
          </w:p>
        </w:tc>
        <w:tc>
          <w:tcPr/>
          <w:p>
            <w:pPr>
              <w:jc w:val="left"/>
            </w:pPr>
            <w:r>
              <w:rPr>
                <w:b/>
                <w:bCs/>
              </w:rPr>
              <w:t xml:space="preserve">Day 1:</w:t>
            </w:r>
            <w:r>
              <w:t xml:space="preserve"> </w:t>
            </w:r>
            <w:r>
              <w:t xml:space="preserve">Transfusion support (total 10 units PRBC + FFP over 7 days)</w:t>
            </w:r>
          </w:p>
          <w:p>
            <w:pPr>
              <w:jc w:val="left"/>
            </w:pPr>
            <w:r>
              <w:rPr>
                <w:b/>
                <w:bCs/>
              </w:rPr>
              <w:t xml:space="preserve">Day 2:</w:t>
            </w:r>
            <w:r>
              <w:t xml:space="preserve"> </w:t>
            </w:r>
            <w:r>
              <w:t xml:space="preserve">Hb 9.6→7.6 g/dL; platelets 218×10³→104×10³/µL</w:t>
            </w:r>
          </w:p>
          <w:p>
            <w:pPr>
              <w:jc w:val="left"/>
            </w:pPr>
            <w:r>
              <w:rPr>
                <w:b/>
                <w:bCs/>
              </w:rPr>
              <w:t xml:space="preserve">Day 3:</w:t>
            </w:r>
            <w:r>
              <w:t xml:space="preserve"> </w:t>
            </w:r>
            <w:r>
              <w:t xml:space="preserve">Conservative management, LMWH resumed, tranexamic acid initiated</w:t>
            </w:r>
          </w:p>
          <w:p>
            <w:pPr>
              <w:jc w:val="left"/>
            </w:pPr>
            <w:r>
              <w:rPr>
                <w:b/>
                <w:bCs/>
              </w:rPr>
              <w:t xml:space="preserve">Day 4:</w:t>
            </w:r>
            <w:r>
              <w:t xml:space="preserve"> </w:t>
            </w:r>
            <w:r>
              <w:t xml:space="preserve">Hypofibrinogenemia (1.4 g/L), elevated D-dimer (35.2 µg/mL) consistent with Kasabach–Merritt syndrome</w:t>
            </w:r>
          </w:p>
          <w:p>
            <w:pPr>
              <w:jc w:val="left"/>
            </w:pPr>
            <w:r>
              <w:rPr>
                <w:b/>
                <w:bCs/>
              </w:rPr>
              <w:t xml:space="preserve">Day 7:</w:t>
            </w:r>
            <w:r>
              <w:t xml:space="preserve"> </w:t>
            </w:r>
            <w:r>
              <w:t xml:space="preserve">Hb stabilized (10.1 g/dL); persistent thrombocytopenia (64×10³/µL)</w:t>
            </w:r>
          </w:p>
          <w:p>
            <w:pPr>
              <w:jc w:val="left"/>
            </w:pPr>
            <w:r>
              <w:rPr>
                <w:b/>
                <w:bCs/>
              </w:rPr>
              <w:t xml:space="preserve">Day 10:</w:t>
            </w:r>
            <w:r>
              <w:t xml:space="preserve"> </w:t>
            </w:r>
            <w:r>
              <w:t xml:space="preserve">Discharged in stable condition</w:t>
            </w:r>
          </w:p>
          <w:p>
            <w:pPr>
              <w:jc w:val="left"/>
            </w:pPr>
            <w:r>
              <w:rPr>
                <w:b/>
                <w:bCs/>
              </w:rPr>
              <w:t xml:space="preserve">Day 19:</w:t>
            </w:r>
            <w:r>
              <w:t xml:space="preserve"> </w:t>
            </w:r>
            <w:r>
              <w:t xml:space="preserve">Outpatient follow-up: fair general condition; sutures removed</w:t>
            </w:r>
          </w:p>
        </w:tc>
      </w:tr>
    </w:tbl>
    <w:p>
      <w:pPr>
        <w:pStyle w:val="BodyText"/>
      </w:pPr>
      <w:r>
        <w:t xml:space="preserve"> </w:t>
      </w:r>
    </w:p>
    <w:p>
      <w:pPr>
        <w:pStyle w:val="TableCaption"/>
      </w:pPr>
      <w:r>
        <w:t xml:space="preserve">Laboratory results throughout the clinical course</w:t>
      </w:r>
    </w:p>
    <w:tbl>
      <w:tblPr>
        <w:tblStyle w:val="Table"/>
        <w:tblW w:type="pct" w:w="5000"/>
        <w:tblLayout w:type="fixed"/>
        <w:tblLook w:firstRow="1" w:lastRow="0" w:firstColumn="0" w:lastColumn="0" w:noHBand="0" w:noVBand="0" w:val="0020"/>
        <w:tblCaption w:val="Laboratory results throughout the clinical course"/>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Parameters/Timing</w:t>
            </w:r>
          </w:p>
        </w:tc>
        <w:tc>
          <w:tcPr/>
          <w:p>
            <w:pPr>
              <w:pStyle w:val="Compact"/>
              <w:jc w:val="left"/>
            </w:pPr>
            <w:r>
              <w:t xml:space="preserve">December 16 (Day of admission)</w:t>
            </w:r>
          </w:p>
        </w:tc>
        <w:tc>
          <w:tcPr/>
          <w:p>
            <w:pPr>
              <w:pStyle w:val="Compact"/>
              <w:jc w:val="left"/>
            </w:pPr>
            <w:r>
              <w:t xml:space="preserve">December 22</w:t>
            </w:r>
          </w:p>
        </w:tc>
        <w:tc>
          <w:tcPr/>
          <w:p>
            <w:pPr>
              <w:pStyle w:val="Compact"/>
              <w:jc w:val="left"/>
            </w:pPr>
            <w:r>
              <w:t xml:space="preserve">December 28</w:t>
            </w:r>
          </w:p>
        </w:tc>
        <w:tc>
          <w:tcPr/>
          <w:p>
            <w:pPr>
              <w:pStyle w:val="Compact"/>
              <w:jc w:val="left"/>
            </w:pPr>
            <w:r>
              <w:t xml:space="preserve">POD 1</w:t>
            </w:r>
          </w:p>
        </w:tc>
        <w:tc>
          <w:tcPr/>
          <w:p>
            <w:pPr>
              <w:pStyle w:val="Compact"/>
              <w:jc w:val="left"/>
            </w:pPr>
            <w:r>
              <w:t xml:space="preserve">POD 2</w:t>
            </w:r>
          </w:p>
        </w:tc>
        <w:tc>
          <w:tcPr/>
          <w:p>
            <w:pPr>
              <w:pStyle w:val="Compact"/>
              <w:jc w:val="left"/>
            </w:pPr>
            <w:r>
              <w:t xml:space="preserve">POD 4</w:t>
            </w:r>
          </w:p>
        </w:tc>
        <w:tc>
          <w:tcPr/>
          <w:p>
            <w:pPr>
              <w:pStyle w:val="Compact"/>
              <w:jc w:val="left"/>
            </w:pPr>
            <w:r>
              <w:t xml:space="preserve">POD 6</w:t>
            </w:r>
          </w:p>
        </w:tc>
        <w:tc>
          <w:tcPr/>
          <w:p>
            <w:pPr>
              <w:pStyle w:val="Compact"/>
              <w:jc w:val="left"/>
            </w:pPr>
            <w:r>
              <w:t xml:space="preserve">POD 7</w:t>
            </w:r>
          </w:p>
        </w:tc>
        <w:tc>
          <w:tcPr/>
          <w:p>
            <w:pPr>
              <w:pStyle w:val="Compact"/>
              <w:jc w:val="left"/>
            </w:pPr>
            <w:r>
              <w:t xml:space="preserve">Reference range</w:t>
            </w:r>
          </w:p>
        </w:tc>
      </w:tr>
      <w:tr>
        <w:tc>
          <w:tcPr/>
          <w:p>
            <w:pPr>
              <w:pStyle w:val="Compact"/>
              <w:jc w:val="left"/>
            </w:pPr>
            <w:r>
              <w:t xml:space="preserve">Hb (g/dL)</w:t>
            </w:r>
          </w:p>
        </w:tc>
        <w:tc>
          <w:tcPr/>
          <w:p>
            <w:pPr>
              <w:pStyle w:val="Compact"/>
              <w:jc w:val="left"/>
            </w:pPr>
            <w:r>
              <w:t xml:space="preserve">7.0</w:t>
            </w:r>
          </w:p>
        </w:tc>
        <w:tc>
          <w:tcPr/>
          <w:p>
            <w:pPr>
              <w:pStyle w:val="Compact"/>
              <w:jc w:val="left"/>
            </w:pPr>
            <w:r>
              <w:t xml:space="preserve">7.6</w:t>
            </w:r>
          </w:p>
        </w:tc>
        <w:tc>
          <w:tcPr/>
          <w:p>
            <w:pPr>
              <w:pStyle w:val="Compact"/>
              <w:jc w:val="left"/>
            </w:pPr>
            <w:r>
              <w:t xml:space="preserve">10.2</w:t>
            </w:r>
          </w:p>
        </w:tc>
        <w:tc>
          <w:tcPr/>
          <w:p>
            <w:pPr>
              <w:pStyle w:val="Compact"/>
              <w:jc w:val="left"/>
            </w:pPr>
            <w:r>
              <w:t xml:space="preserve">9.6</w:t>
            </w:r>
          </w:p>
        </w:tc>
        <w:tc>
          <w:tcPr/>
          <w:p>
            <w:pPr>
              <w:pStyle w:val="Compact"/>
              <w:jc w:val="left"/>
            </w:pPr>
            <w:r>
              <w:t xml:space="preserve">7.6</w:t>
            </w:r>
          </w:p>
        </w:tc>
        <w:tc>
          <w:tcPr/>
          <w:p>
            <w:pPr>
              <w:pStyle w:val="Compact"/>
              <w:jc w:val="left"/>
            </w:pPr>
            <w:r>
              <w:t xml:space="preserve">8.6</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12.0-15.0</w:t>
            </w:r>
          </w:p>
        </w:tc>
      </w:tr>
      <w:tr>
        <w:tc>
          <w:tcPr/>
          <w:p>
            <w:pPr>
              <w:pStyle w:val="Compact"/>
              <w:jc w:val="left"/>
            </w:pPr>
            <w:r>
              <w:t xml:space="preserve">HCT (%)</w:t>
            </w:r>
          </w:p>
        </w:tc>
        <w:tc>
          <w:tcPr/>
          <w:p>
            <w:pPr>
              <w:pStyle w:val="Compact"/>
              <w:jc w:val="left"/>
            </w:pPr>
            <w:r>
              <w:t xml:space="preserve">23.0</w:t>
            </w:r>
          </w:p>
        </w:tc>
        <w:tc>
          <w:tcPr/>
          <w:p>
            <w:pPr>
              <w:pStyle w:val="Compact"/>
              <w:jc w:val="left"/>
            </w:pPr>
            <w:r>
              <w:t xml:space="preserve">23.5</w:t>
            </w:r>
          </w:p>
        </w:tc>
        <w:tc>
          <w:tcPr/>
          <w:p>
            <w:pPr>
              <w:pStyle w:val="Compact"/>
              <w:jc w:val="left"/>
            </w:pPr>
            <w:r>
              <w:t xml:space="preserve">33.1</w:t>
            </w:r>
          </w:p>
        </w:tc>
        <w:tc>
          <w:tcPr/>
          <w:p>
            <w:pPr>
              <w:pStyle w:val="Compact"/>
              <w:jc w:val="left"/>
            </w:pPr>
            <w:r>
              <w:t xml:space="preserve">20.0</w:t>
            </w:r>
          </w:p>
        </w:tc>
        <w:tc>
          <w:tcPr/>
          <w:p>
            <w:pPr>
              <w:pStyle w:val="Compact"/>
              <w:jc w:val="left"/>
            </w:pPr>
            <w:r>
              <w:t xml:space="preserve">21.8</w:t>
            </w:r>
          </w:p>
        </w:tc>
        <w:tc>
          <w:tcPr/>
          <w:p>
            <w:pPr>
              <w:pStyle w:val="Compact"/>
              <w:jc w:val="left"/>
            </w:pPr>
            <w:r>
              <w:t xml:space="preserve">26.8</w:t>
            </w:r>
          </w:p>
        </w:tc>
        <w:tc>
          <w:tcPr/>
          <w:p>
            <w:pPr>
              <w:pStyle w:val="Compact"/>
              <w:jc w:val="left"/>
            </w:pPr>
            <w:r>
              <w:t xml:space="preserve">30.8</w:t>
            </w:r>
          </w:p>
        </w:tc>
        <w:tc>
          <w:tcPr/>
          <w:p>
            <w:pPr>
              <w:pStyle w:val="Compact"/>
              <w:jc w:val="left"/>
            </w:pPr>
            <w:r>
              <w:t xml:space="preserve">-</w:t>
            </w:r>
          </w:p>
        </w:tc>
        <w:tc>
          <w:tcPr/>
          <w:p>
            <w:pPr>
              <w:pStyle w:val="Compact"/>
              <w:jc w:val="left"/>
            </w:pPr>
            <w:r>
              <w:t xml:space="preserve">36-46</w:t>
            </w:r>
          </w:p>
        </w:tc>
      </w:tr>
      <w:tr>
        <w:tc>
          <w:tcPr/>
          <w:p>
            <w:pPr>
              <w:pStyle w:val="Compact"/>
              <w:jc w:val="left"/>
            </w:pPr>
            <w:r>
              <w:t xml:space="preserve">Platelets (/µL)</w:t>
            </w:r>
          </w:p>
        </w:tc>
        <w:tc>
          <w:tcPr/>
          <w:p>
            <w:pPr>
              <w:pStyle w:val="Compact"/>
              <w:jc w:val="left"/>
            </w:pPr>
            <w:r>
              <w:t xml:space="preserve">128,000</w:t>
            </w:r>
          </w:p>
        </w:tc>
        <w:tc>
          <w:tcPr/>
          <w:p>
            <w:pPr>
              <w:pStyle w:val="Compact"/>
              <w:jc w:val="left"/>
            </w:pPr>
            <w:r>
              <w:t xml:space="preserve">97,000</w:t>
            </w:r>
          </w:p>
        </w:tc>
        <w:tc>
          <w:tcPr/>
          <w:p>
            <w:pPr>
              <w:pStyle w:val="Compact"/>
              <w:jc w:val="left"/>
            </w:pPr>
            <w:r>
              <w:t xml:space="preserve">129,000</w:t>
            </w:r>
          </w:p>
        </w:tc>
        <w:tc>
          <w:tcPr/>
          <w:p>
            <w:pPr>
              <w:pStyle w:val="Compact"/>
              <w:jc w:val="left"/>
            </w:pPr>
            <w:r>
              <w:t xml:space="preserve">218,000</w:t>
            </w:r>
          </w:p>
        </w:tc>
        <w:tc>
          <w:tcPr/>
          <w:p>
            <w:pPr>
              <w:pStyle w:val="Compact"/>
              <w:jc w:val="left"/>
            </w:pPr>
            <w:r>
              <w:t xml:space="preserve">104,000</w:t>
            </w:r>
          </w:p>
        </w:tc>
        <w:tc>
          <w:tcPr/>
          <w:p>
            <w:pPr>
              <w:pStyle w:val="Compact"/>
              <w:jc w:val="left"/>
            </w:pPr>
            <w:r>
              <w:t xml:space="preserve">75,000</w:t>
            </w:r>
          </w:p>
        </w:tc>
        <w:tc>
          <w:tcPr/>
          <w:p>
            <w:pPr>
              <w:pStyle w:val="Compact"/>
              <w:jc w:val="left"/>
            </w:pPr>
            <w:r>
              <w:t xml:space="preserve">64,000</w:t>
            </w:r>
          </w:p>
        </w:tc>
        <w:tc>
          <w:tcPr/>
          <w:p>
            <w:pPr>
              <w:pStyle w:val="Compact"/>
              <w:jc w:val="left"/>
            </w:pPr>
            <w:r>
              <w:t xml:space="preserve">64,000</w:t>
            </w:r>
          </w:p>
        </w:tc>
        <w:tc>
          <w:tcPr/>
          <w:p>
            <w:pPr>
              <w:pStyle w:val="Compact"/>
              <w:jc w:val="left"/>
            </w:pPr>
            <w:r>
              <w:t xml:space="preserve">150,000–410,000</w:t>
            </w:r>
          </w:p>
        </w:tc>
      </w:tr>
      <w:tr>
        <w:tc>
          <w:tcPr/>
          <w:p>
            <w:pPr>
              <w:pStyle w:val="Compact"/>
              <w:jc w:val="left"/>
            </w:pPr>
            <w:r>
              <w:t xml:space="preserve">PT (seconds)</w:t>
            </w:r>
          </w:p>
        </w:tc>
        <w:tc>
          <w:tcPr/>
          <w:p>
            <w:pPr>
              <w:pStyle w:val="Compact"/>
              <w:jc w:val="left"/>
            </w:pPr>
            <w:r>
              <w:t xml:space="preserve">-</w:t>
            </w:r>
          </w:p>
        </w:tc>
        <w:tc>
          <w:tcPr/>
          <w:p>
            <w:pPr>
              <w:pStyle w:val="Compact"/>
              <w:jc w:val="left"/>
            </w:pPr>
            <w:r>
              <w:t xml:space="preserve">-</w:t>
            </w:r>
          </w:p>
        </w:tc>
        <w:tc>
          <w:tcPr/>
          <w:p>
            <w:pPr>
              <w:pStyle w:val="Compact"/>
              <w:jc w:val="left"/>
            </w:pPr>
            <w:r>
              <w:t xml:space="preserve">12.4</w:t>
            </w:r>
          </w:p>
        </w:tc>
        <w:tc>
          <w:tcPr/>
          <w:p>
            <w:pPr>
              <w:pStyle w:val="Compact"/>
              <w:jc w:val="left"/>
            </w:pPr>
            <w:r>
              <w:t xml:space="preserve">40.70</w:t>
            </w:r>
          </w:p>
        </w:tc>
        <w:tc>
          <w:tcPr/>
          <w:p>
            <w:pPr>
              <w:pStyle w:val="Compact"/>
              <w:jc w:val="left"/>
            </w:pPr>
            <w:r>
              <w:t xml:space="preserve">-</w:t>
            </w:r>
          </w:p>
        </w:tc>
        <w:tc>
          <w:tcPr/>
          <w:p>
            <w:pPr>
              <w:pStyle w:val="Compact"/>
              <w:jc w:val="left"/>
            </w:pPr>
            <w:r>
              <w:t xml:space="preserve">-</w:t>
            </w:r>
          </w:p>
        </w:tc>
        <w:tc>
          <w:tcPr/>
          <w:p>
            <w:pPr>
              <w:pStyle w:val="Compact"/>
              <w:jc w:val="left"/>
            </w:pPr>
            <w:r>
              <w:t xml:space="preserve">17.7</w:t>
            </w:r>
          </w:p>
        </w:tc>
        <w:tc>
          <w:tcPr/>
          <w:p>
            <w:pPr>
              <w:pStyle w:val="Compact"/>
              <w:jc w:val="left"/>
            </w:pPr>
            <w:r>
              <w:t xml:space="preserve">-</w:t>
            </w:r>
          </w:p>
        </w:tc>
        <w:tc>
          <w:tcPr/>
          <w:p>
            <w:pPr>
              <w:pStyle w:val="Compact"/>
              <w:jc w:val="left"/>
            </w:pPr>
            <w:r>
              <w:t xml:space="preserve">11.7–15.3</w:t>
            </w:r>
          </w:p>
        </w:tc>
      </w:tr>
      <w:tr>
        <w:tc>
          <w:tcPr/>
          <w:p>
            <w:pPr>
              <w:pStyle w:val="Compact"/>
              <w:jc w:val="left"/>
            </w:pPr>
            <w:r>
              <w:t xml:space="preserve">Total bilirubin (mg/dL)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w:t>
            </w:r>
          </w:p>
        </w:tc>
        <w:tc>
          <w:tcPr/>
          <w:p>
            <w:pPr>
              <w:pStyle w:val="Compact"/>
              <w:jc w:val="left"/>
            </w:pPr>
            <w:r>
              <w:t xml:space="preserve">1.8-3.5</w:t>
            </w:r>
          </w:p>
        </w:tc>
      </w:tr>
      <w:tr>
        <w:tc>
          <w:tcPr/>
          <w:p>
            <w:pPr>
              <w:pStyle w:val="Compact"/>
              <w:jc w:val="left"/>
            </w:pPr>
            <w:r>
              <w:t xml:space="preserve">ALP (IU/L)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135</w:t>
            </w:r>
          </w:p>
        </w:tc>
        <w:tc>
          <w:tcPr/>
          <w:p>
            <w:pPr>
              <w:pStyle w:val="Compact"/>
              <w:jc w:val="left"/>
            </w:pPr>
            <w:r>
              <w:t xml:space="preserve">115</w:t>
            </w:r>
          </w:p>
        </w:tc>
        <w:tc>
          <w:tcPr/>
          <w:p>
            <w:pPr>
              <w:pStyle w:val="Compact"/>
              <w:jc w:val="left"/>
            </w:pPr>
            <w:r>
              <w:t xml:space="preserve">-</w:t>
            </w:r>
          </w:p>
        </w:tc>
        <w:tc>
          <w:tcPr/>
          <w:p>
            <w:pPr>
              <w:pStyle w:val="Compact"/>
              <w:jc w:val="left"/>
            </w:pPr>
            <w:r>
              <w:t xml:space="preserve">108</w:t>
            </w:r>
          </w:p>
        </w:tc>
        <w:tc>
          <w:tcPr/>
          <w:p>
            <w:pPr>
              <w:pStyle w:val="Compact"/>
              <w:jc w:val="left"/>
            </w:pPr>
            <w:r>
              <w:t xml:space="preserve">-</w:t>
            </w:r>
          </w:p>
        </w:tc>
        <w:tc>
          <w:tcPr/>
          <w:p>
            <w:pPr>
              <w:pStyle w:val="Compact"/>
              <w:jc w:val="left"/>
            </w:pPr>
            <w:r>
              <w:t xml:space="preserve">34–104</w:t>
            </w:r>
          </w:p>
        </w:tc>
      </w:tr>
      <w:tr>
        <w:tc>
          <w:tcPr/>
          <w:p>
            <w:pPr>
              <w:pStyle w:val="Compact"/>
              <w:jc w:val="left"/>
            </w:pPr>
            <w:r>
              <w:t xml:space="preserve">LDH (IU/L)</w:t>
            </w:r>
          </w:p>
        </w:tc>
        <w:tc>
          <w:tcPr/>
          <w:p>
            <w:pPr>
              <w:pStyle w:val="Compact"/>
              <w:jc w:val="left"/>
            </w:pPr>
            <w:r>
              <w:t xml:space="preserve">-</w:t>
            </w:r>
          </w:p>
        </w:tc>
        <w:tc>
          <w:tcPr/>
          <w:p>
            <w:pPr>
              <w:pStyle w:val="Compact"/>
              <w:jc w:val="left"/>
            </w:pPr>
            <w:r>
              <w:t xml:space="preserve">454</w:t>
            </w:r>
          </w:p>
        </w:tc>
        <w:tc>
          <w:tcPr/>
          <w:p>
            <w:pPr>
              <w:pStyle w:val="Compact"/>
              <w:jc w:val="left"/>
            </w:pPr>
            <w:r>
              <w:t xml:space="preserve">-</w:t>
            </w:r>
          </w:p>
        </w:tc>
        <w:tc>
          <w:tcPr/>
          <w:p>
            <w:pPr>
              <w:pStyle w:val="Compact"/>
              <w:jc w:val="left"/>
            </w:pPr>
            <w:r>
              <w:t xml:space="preserve">424</w:t>
            </w:r>
          </w:p>
        </w:tc>
        <w:tc>
          <w:tcPr/>
          <w:p>
            <w:pPr>
              <w:pStyle w:val="Compact"/>
              <w:jc w:val="left"/>
            </w:pPr>
            <w:r>
              <w:t xml:space="preserve">357</w:t>
            </w:r>
          </w:p>
        </w:tc>
        <w:tc>
          <w:tcPr/>
          <w:p>
            <w:pPr>
              <w:pStyle w:val="Compact"/>
              <w:jc w:val="left"/>
            </w:pPr>
            <w:r>
              <w:t xml:space="preserve">-</w:t>
            </w:r>
          </w:p>
        </w:tc>
        <w:tc>
          <w:tcPr/>
          <w:p>
            <w:pPr>
              <w:pStyle w:val="Compact"/>
              <w:jc w:val="left"/>
            </w:pPr>
            <w:r>
              <w:t xml:space="preserve">449</w:t>
            </w:r>
          </w:p>
        </w:tc>
        <w:tc>
          <w:tcPr/>
          <w:p>
            <w:pPr>
              <w:pStyle w:val="Compact"/>
              <w:jc w:val="left"/>
            </w:pPr>
            <w:r>
              <w:t xml:space="preserve">-</w:t>
            </w:r>
          </w:p>
        </w:tc>
        <w:tc>
          <w:tcPr/>
          <w:p>
            <w:pPr>
              <w:pStyle w:val="Compact"/>
              <w:jc w:val="left"/>
            </w:pPr>
            <w:r>
              <w:t xml:space="preserve">140–271</w:t>
            </w:r>
          </w:p>
        </w:tc>
      </w:tr>
    </w:tbl>
    <w:p>
      <w:pPr>
        <w:pStyle w:val="BodyText"/>
      </w:pPr>
      <w:r>
        <w:t xml:space="preserve">POD: Post operative day, Hb: Hemoglobin, HTC: Hematocrit, PT: Prothrombin time, ALP: Alkaline phosphatase, LDH : Lactate dehydrogenase.</w:t>
      </w:r>
    </w:p>
    <w:bookmarkEnd w:id="15"/>
    <w:bookmarkStart w:id="16"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r>
        <w:rPr>
          <w:b/>
          <w:bCs/>
        </w:rPr>
        <w:t xml:space="preserve">?@tbl-3</w:t>
      </w:r>
    </w:p>
    <w:p>
      <w:pPr>
        <w:pStyle w:val="TableCaption"/>
      </w:pPr>
      <w:r>
        <w:t xml:space="preserve">Literature review</w:t>
      </w:r>
    </w:p>
    <w:tbl>
      <w:tblPr>
        <w:tblStyle w:val="Table"/>
        <w:tblW w:type="pct" w:w="4957"/>
        <w:tblLayout w:type="fixed"/>
        <w:tblLook w:firstRow="1" w:lastRow="0" w:firstColumn="0" w:lastColumn="0" w:noHBand="0" w:noVBand="0" w:val="0020"/>
        <w:tblCaption w:val="Literature review"/>
      </w:tblPr>
      <w:tblGrid>
        <w:gridCol w:w="572"/>
        <w:gridCol w:w="842"/>
        <w:gridCol w:w="2409"/>
        <w:gridCol w:w="1836"/>
        <w:gridCol w:w="1567"/>
        <w:gridCol w:w="623"/>
      </w:tblGrid>
      <w:tr>
        <w:trPr>
          <w:tblHeader w:val="on"/>
        </w:trPr>
        <w:tc>
          <w:tcPr/>
          <w:p>
            <w:pPr>
              <w:pStyle w:val="Compact"/>
              <w:jc w:val="left"/>
            </w:pPr>
            <w:r>
              <w:rPr>
                <w:b/>
                <w:bCs/>
              </w:rPr>
              <w:t xml:space="preserve">Author (Year)</w:t>
            </w:r>
          </w:p>
        </w:tc>
        <w:tc>
          <w:tcPr/>
          <w:p>
            <w:pPr>
              <w:pStyle w:val="Compact"/>
              <w:jc w:val="left"/>
            </w:pPr>
            <w:r>
              <w:t xml:space="preserve">Pregnancy</w:t>
            </w:r>
          </w:p>
        </w:tc>
        <w:tc>
          <w:tcPr/>
          <w:p>
            <w:pPr>
              <w:pStyle w:val="Compact"/>
              <w:jc w:val="left"/>
            </w:pPr>
            <w:r>
              <w:rPr>
                <w:b/>
                <w:bCs/>
              </w:rPr>
              <w:t xml:space="preserve">Key findings</w:t>
            </w:r>
          </w:p>
        </w:tc>
        <w:tc>
          <w:tcPr/>
          <w:p>
            <w:pPr>
              <w:pStyle w:val="Compact"/>
              <w:jc w:val="left"/>
            </w:pPr>
            <w:r>
              <w:rPr>
                <w:b/>
                <w:bCs/>
              </w:rPr>
              <w:t xml:space="preserve">KMS</w:t>
            </w:r>
          </w:p>
        </w:tc>
        <w:tc>
          <w:tcPr/>
          <w:p>
            <w:pPr>
              <w:pStyle w:val="Compact"/>
              <w:jc w:val="left"/>
            </w:pPr>
            <w:r>
              <w:rPr>
                <w:b/>
                <w:bCs/>
              </w:rPr>
              <w:t xml:space="preserve">Management</w:t>
            </w:r>
          </w:p>
        </w:tc>
        <w:tc>
          <w:tcPr/>
          <w:p>
            <w:pPr>
              <w:pStyle w:val="Compact"/>
              <w:jc w:val="left"/>
            </w:pPr>
            <w:r>
              <w:rPr>
                <w:b/>
                <w:bCs/>
              </w:rPr>
              <w:t xml:space="preserve">Outcome</w:t>
            </w:r>
          </w:p>
        </w:tc>
      </w:tr>
      <w:tr>
        <w:tc>
          <w:tcPr/>
          <w:p>
            <w:pPr>
              <w:pStyle w:val="Compact"/>
              <w:jc w:val="left"/>
            </w:pPr>
            <w:r>
              <w:rPr>
                <w:b/>
                <w:bCs/>
              </w:rPr>
              <w:t xml:space="preserve">Neubert (1995)</w:t>
            </w:r>
            <w:r>
              <w:t xml:space="preserve"> </w:t>
            </w:r>
            <w:r>
              <w:t xml:space="preserve">[9]</w:t>
            </w:r>
          </w:p>
        </w:tc>
        <w:tc>
          <w:tcPr/>
          <w:p>
            <w:pPr>
              <w:pStyle w:val="Compact"/>
              <w:jc w:val="left"/>
            </w:pPr>
            <w:r>
              <w:t xml:space="preserve">22 years-old primigravida, 37 weeks’ gestation</w:t>
            </w:r>
          </w:p>
        </w:tc>
        <w:tc>
          <w:tcPr/>
          <w:p>
            <w:pPr>
              <w:pStyle w:val="Compact"/>
              <w:jc w:val="left"/>
            </w:pPr>
            <w:r>
              <w:t xml:space="preserve">known KTS, hemangiomas, limb hypertrophy, massive vulvovaginal varicosities</w:t>
            </w:r>
          </w:p>
        </w:tc>
        <w:tc>
          <w:tcPr/>
          <w:p>
            <w:pPr>
              <w:pStyle w:val="Compact"/>
              <w:jc w:val="left"/>
            </w:pPr>
            <w:r>
              <w:t xml:space="preserve">Post-op KMS: thrombocytopenia, decreased fibrinogen, prolonged PT/PTT, increased fibrin split products</w:t>
            </w:r>
          </w:p>
        </w:tc>
        <w:tc>
          <w:tcPr/>
          <w:p>
            <w:pPr>
              <w:pStyle w:val="Compact"/>
              <w:jc w:val="left"/>
            </w:pPr>
            <w:r>
              <w:t xml:space="preserve">CS at 39 wks; hematoma evacuation; ICU; transfusion; heparin + aminocaproic acid</w:t>
            </w:r>
          </w:p>
        </w:tc>
        <w:tc>
          <w:tcPr/>
          <w:p>
            <w:pPr>
              <w:pStyle w:val="Compact"/>
              <w:jc w:val="left"/>
            </w:pPr>
            <w:r>
              <w:t xml:space="preserve">Discharged day 20; healthy neonate</w:t>
            </w:r>
          </w:p>
        </w:tc>
      </w:tr>
      <w:tr>
        <w:tc>
          <w:tcPr/>
          <w:p>
            <w:pPr>
              <w:pStyle w:val="Compact"/>
              <w:jc w:val="left"/>
            </w:pPr>
            <w:r>
              <w:rPr>
                <w:b/>
                <w:bCs/>
              </w:rPr>
              <w:t xml:space="preserve">Kanmani (2021)</w:t>
            </w:r>
            <w:r>
              <w:t xml:space="preserve"> </w:t>
            </w:r>
            <w:r>
              <w:t xml:space="preserve">[10]</w:t>
            </w:r>
          </w:p>
        </w:tc>
        <w:tc>
          <w:tcPr/>
          <w:p>
            <w:pPr>
              <w:pStyle w:val="Compact"/>
              <w:jc w:val="left"/>
            </w:pPr>
            <w:r>
              <w:t xml:space="preserve">24 years-old, primigravida, 29 weeks’ gestation</w:t>
            </w:r>
          </w:p>
        </w:tc>
        <w:tc>
          <w:tcPr/>
          <w:p>
            <w:pPr>
              <w:pStyle w:val="Compact"/>
              <w:jc w:val="left"/>
            </w:pPr>
            <w:r>
              <w:t xml:space="preserve">known KTS, bleeding gums, Limb hypertrophy, varicosities (vulvar, lower limb)</w:t>
            </w:r>
          </w:p>
        </w:tc>
        <w:tc>
          <w:tcPr/>
          <w:p>
            <w:pPr>
              <w:pStyle w:val="Compact"/>
              <w:jc w:val="left"/>
            </w:pPr>
            <w:r>
              <w:t xml:space="preserve">Antenatal KMS: severe thrombocytopenia (limited laboratory investigation reported)</w:t>
            </w:r>
          </w:p>
        </w:tc>
        <w:tc>
          <w:tcPr/>
          <w:p>
            <w:pPr>
              <w:pStyle w:val="Compact"/>
              <w:jc w:val="left"/>
            </w:pPr>
            <w:r>
              <w:t xml:space="preserve">Steroids + platelet transfusion; CS at 35 wks; post-op anticoagulation and corticosteroids</w:t>
            </w:r>
          </w:p>
        </w:tc>
        <w:tc>
          <w:tcPr/>
          <w:p>
            <w:pPr>
              <w:pStyle w:val="Compact"/>
              <w:jc w:val="left"/>
            </w:pPr>
            <w:r>
              <w:t xml:space="preserve">Discharged day 20; healthy neonate</w:t>
            </w:r>
          </w:p>
        </w:tc>
      </w:tr>
      <w:tr>
        <w:tc>
          <w:tcPr/>
          <w:p>
            <w:pPr>
              <w:pStyle w:val="Compact"/>
              <w:jc w:val="left"/>
            </w:pPr>
            <w:r>
              <w:rPr>
                <w:b/>
                <w:bCs/>
              </w:rPr>
              <w:t xml:space="preserve">Zhang (2019)</w:t>
            </w:r>
            <w:r>
              <w:t xml:space="preserve"> </w:t>
            </w:r>
            <w:r>
              <w:t xml:space="preserve">[11]</w:t>
            </w:r>
          </w:p>
        </w:tc>
        <w:tc>
          <w:tcPr/>
          <w:p>
            <w:pPr>
              <w:jc w:val="left"/>
            </w:pPr>
            <w:r>
              <w:t xml:space="preserve">26 years old.</w:t>
            </w:r>
          </w:p>
          <w:p>
            <w:pPr>
              <w:jc w:val="left"/>
            </w:pPr>
            <w:r>
              <w:t xml:space="preserve">Postpartum.</w:t>
            </w:r>
          </w:p>
        </w:tc>
        <w:tc>
          <w:tcPr/>
          <w:p>
            <w:pPr>
              <w:jc w:val="left"/>
            </w:pPr>
            <w:r>
              <w:t xml:space="preserve">KTS diagnosed in the third trimester of pregnancy.</w:t>
            </w:r>
          </w:p>
          <w:p>
            <w:pPr>
              <w:jc w:val="left"/>
            </w:pPr>
            <w:r>
              <w:t xml:space="preserve">Admitted on day 10 postpartum with severe postpartum hemorrahge, hemodynamic instability, ecchymoses, massive limb hypertrophy, varicosities</w:t>
            </w:r>
          </w:p>
        </w:tc>
        <w:tc>
          <w:tcPr/>
          <w:p>
            <w:pPr>
              <w:pStyle w:val="Compact"/>
              <w:jc w:val="left"/>
            </w:pPr>
            <w:r>
              <w:t xml:space="preserve">Post-op KMS: thrombocytopenia, ↓ fibrinogen, ↑ PT/APTT, increased fibrin split products, increased D-dimer</w:t>
            </w:r>
          </w:p>
        </w:tc>
        <w:tc>
          <w:tcPr/>
          <w:p>
            <w:pPr>
              <w:pStyle w:val="Compact"/>
              <w:jc w:val="left"/>
            </w:pPr>
            <w:r>
              <w:t xml:space="preserve">CS at 39 wks; hysterectomy; embolization; laparotomy; anticoagulation</w:t>
            </w:r>
          </w:p>
        </w:tc>
        <w:tc>
          <w:tcPr/>
          <w:p>
            <w:pPr>
              <w:pStyle w:val="Compact"/>
              <w:jc w:val="left"/>
            </w:pPr>
            <w:r>
              <w:t xml:space="preserve">Discharged day 42; healthy neonate</w:t>
            </w:r>
          </w:p>
        </w:tc>
      </w:tr>
    </w:tbl>
    <w:bookmarkEnd w:id="16"/>
    <w:bookmarkStart w:id="17"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[9–11]</w:t>
      </w:r>
      <w:r>
        <w:t xml:space="preserve">, she exhibited the hallmark triad of varicosities, limb hypertrophy, and hemangiomas, with port-wine stains additionally present over the gluteal region.</w:t>
      </w:r>
    </w:p>
    <w:p>
      <w:pPr>
        <w:pStyle w:val="BodyText"/>
      </w:pPr>
      <w:r>
        <w:t xml:space="preserve">In 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w:t>
      </w:r>
    </w:p>
    <w:p>
      <w:pPr>
        <w:pStyle w:val="BodyText"/>
      </w:pPr>
      <w:r>
        <w:t xml:space="preserve">In our patient, clinically significant hematuria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w:t>
      </w:r>
      <w:r>
        <w:t xml:space="preserve">[13]</w:t>
      </w:r>
      <w:r>
        <w:t xml:space="preserve">]</w:t>
      </w:r>
      <w:r>
        <w:t xml:space="preserve">[14]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17"/>
    <w:bookmarkStart w:id="18"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18"/>
    <w:bookmarkStart w:id="19"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19"/>
    <w:bookmarkStart w:id="27" w:name="declarations"/>
    <w:p>
      <w:pPr>
        <w:pStyle w:val="Heading1"/>
      </w:pPr>
      <w:r>
        <w:t xml:space="preserve">Declarations</w:t>
      </w:r>
    </w:p>
    <w:bookmarkStart w:id="20" w:name="Xd182db0490b2de20bd2b4e4cc8698599182035f"/>
    <w:p>
      <w:pPr>
        <w:pStyle w:val="Heading2"/>
      </w:pPr>
      <w:r>
        <w:t xml:space="preserve">Ethics approval and consent to participate</w:t>
      </w:r>
    </w:p>
    <w:p>
      <w:pPr>
        <w:pStyle w:val="FirstParagraph"/>
      </w:pPr>
      <w:r>
        <w:t xml:space="preserve">Not applicable.</w:t>
      </w:r>
    </w:p>
    <w:bookmarkEnd w:id="20"/>
    <w:bookmarkStart w:id="21" w:name="consent-for-publication"/>
    <w:p>
      <w:pPr>
        <w:pStyle w:val="Heading2"/>
      </w:pPr>
      <w:r>
        <w:t xml:space="preserve">Consent for publication</w:t>
      </w:r>
    </w:p>
    <w:p>
      <w:pPr>
        <w:pStyle w:val="FirstParagraph"/>
      </w:pPr>
      <w:r>
        <w:t xml:space="preserve">A written consent for publication has been obtained from the patient.</w:t>
      </w:r>
    </w:p>
    <w:bookmarkEnd w:id="21"/>
    <w:bookmarkStart w:id="22"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2"/>
    <w:bookmarkStart w:id="23" w:name="competing-interests"/>
    <w:p>
      <w:pPr>
        <w:pStyle w:val="Heading2"/>
      </w:pPr>
      <w:r>
        <w:t xml:space="preserve">Competing interests</w:t>
      </w:r>
    </w:p>
    <w:p>
      <w:pPr>
        <w:pStyle w:val="FirstParagraph"/>
      </w:pPr>
      <w:r>
        <w:t xml:space="preserve">The authors declare that they have no competing interests.</w:t>
      </w:r>
    </w:p>
    <w:bookmarkEnd w:id="23"/>
    <w:bookmarkStart w:id="2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4"/>
    <w:bookmarkStart w:id="25"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5"/>
    <w:bookmarkStart w:id="26"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6"/>
    <w:bookmarkEnd w:id="27"/>
    <w:bookmarkStart w:id="61" w:name="references"/>
    <w:p>
      <w:pPr>
        <w:pStyle w:val="Heading1"/>
      </w:pPr>
      <w:r>
        <w:t xml:space="preserve">References</w:t>
      </w:r>
    </w:p>
    <w:bookmarkStart w:id="60" w:name="refs"/>
    <w:bookmarkStart w:id="29"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28">
        <w:r>
          <w:rPr>
            <w:rStyle w:val="Hyperlink"/>
          </w:rPr>
          <w:t xml:space="preserve">https://www.issva.org/UserFiles/file/ISSVA-Classification-2018.pdf</w:t>
        </w:r>
      </w:hyperlink>
      <w:r>
        <w:t xml:space="preserve">; 2018.</w:t>
      </w:r>
    </w:p>
    <w:bookmarkEnd w:id="29"/>
    <w:bookmarkStart w:id="31" w:name="ref-Pavone2023"/>
    <w:p>
      <w:pPr>
        <w:pStyle w:val="Bibliography"/>
      </w:pPr>
      <w:r>
        <w:t xml:space="preserve">2. Pavone P, Marino L, Cacciaguerra G, Di Nora A, Parano E, Musumeci G, et al.</w:t>
      </w:r>
      <w:r>
        <w:t xml:space="preserve"> </w:t>
      </w:r>
      <w:hyperlink r:id="rId30">
        <w:r>
          <w:rPr>
            <w:rStyle w:val="Hyperlink"/>
          </w:rPr>
          <w:t xml:space="preserve">Klippel-trenaunay syndrome, segmental/focal overgrowth malformations: A review</w:t>
        </w:r>
      </w:hyperlink>
      <w:r>
        <w:t xml:space="preserve">. Children (Basel). 2023;10:1421.</w:t>
      </w:r>
    </w:p>
    <w:bookmarkEnd w:id="31"/>
    <w:bookmarkStart w:id="33" w:name="ref-mckusick1963"/>
    <w:p>
      <w:pPr>
        <w:pStyle w:val="Bibliography"/>
      </w:pPr>
      <w:r>
        <w:t xml:space="preserve">3. McKusick VA. Frederick parkes weber</w:t>
      </w:r>
      <w:r>
        <w:t xml:space="preserve">1863-1962. JAMA [Internet]. 1963;183. Available from:</w:t>
      </w:r>
      <w:r>
        <w:t xml:space="preserve"> </w:t>
      </w:r>
      <w:hyperlink r:id="rId32">
        <w:r>
          <w:rPr>
            <w:rStyle w:val="Hyperlink"/>
          </w:rPr>
          <w:t xml:space="preserve">http://dx.doi.org/10.1001/jama.1963.63700010018015</w:t>
        </w:r>
      </w:hyperlink>
    </w:p>
    <w:bookmarkEnd w:id="33"/>
    <w:bookmarkStart w:id="35" w:name="ref-sikova1999"/>
    <w:p>
      <w:pPr>
        <w:pStyle w:val="Bibliography"/>
      </w:pPr>
      <w:r>
        <w:t xml:space="preserve">4. Sikova DVD, Pavlova LjT, Laskoska MTV, Nikolovska ST, Biljanovska NC. Naevus varicosus osteohypertrophicus. Springer US; 1999. p. 535–40. Available from:</w:t>
      </w:r>
      <w:r>
        <w:t xml:space="preserve"> </w:t>
      </w:r>
      <w:hyperlink r:id="rId34">
        <w:r>
          <w:rPr>
            <w:rStyle w:val="Hyperlink"/>
          </w:rPr>
          <w:t xml:space="preserve">http://dx.doi.org/10.1007/978-1-4615-4857-7_80</w:t>
        </w:r>
      </w:hyperlink>
    </w:p>
    <w:bookmarkEnd w:id="35"/>
    <w:bookmarkStart w:id="37"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6">
        <w:r>
          <w:rPr>
            <w:rStyle w:val="Hyperlink"/>
          </w:rPr>
          <w:t xml:space="preserve">http://dx.doi.org/10.1016/S0025-6196(11)63615-X</w:t>
        </w:r>
      </w:hyperlink>
    </w:p>
    <w:bookmarkEnd w:id="37"/>
    <w:bookmarkStart w:id="39"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38">
        <w:r>
          <w:rPr>
            <w:rStyle w:val="Hyperlink"/>
          </w:rPr>
          <w:t xml:space="preserve">https://www.uptodate.com/contents/klippel-trenaunay-syndrome-clinical-manifestations-diagnosis-and-management</w:t>
        </w:r>
      </w:hyperlink>
      <w:r>
        <w:t xml:space="preserve">; 2024.</w:t>
      </w:r>
    </w:p>
    <w:bookmarkEnd w:id="39"/>
    <w:bookmarkStart w:id="41"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0">
        <w:r>
          <w:rPr>
            <w:rStyle w:val="Hyperlink"/>
          </w:rPr>
          <w:t xml:space="preserve">http://dx.doi.org/10.1177/1179545X17699849</w:t>
        </w:r>
      </w:hyperlink>
    </w:p>
    <w:bookmarkEnd w:id="41"/>
    <w:bookmarkStart w:id="43" w:name="ref-Tian2026"/>
    <w:p>
      <w:pPr>
        <w:pStyle w:val="Bibliography"/>
      </w:pPr>
      <w:r>
        <w:t xml:space="preserve">8. Tian Y, Yuan Y, Wei L, Xu Z, Li L, Li L.</w:t>
      </w:r>
      <w:r>
        <w:t xml:space="preserve"> </w:t>
      </w:r>
      <w:hyperlink r:id="rId42">
        <w:r>
          <w:rPr>
            <w:rStyle w:val="Hyperlink"/>
          </w:rPr>
          <w:t xml:space="preserve">Kaposiform hemangioendothelioma: Diagnosis and treatment</w:t>
        </w:r>
      </w:hyperlink>
      <w:r>
        <w:t xml:space="preserve">. Pediatric Investigation. 2026;</w:t>
      </w:r>
    </w:p>
    <w:bookmarkEnd w:id="43"/>
    <w:bookmarkStart w:id="45" w:name="ref-Neubert1995"/>
    <w:p>
      <w:pPr>
        <w:pStyle w:val="Bibliography"/>
      </w:pPr>
      <w:r>
        <w:t xml:space="preserve">9. Neubert GA, Golden MA, Rose NC.</w:t>
      </w:r>
      <w:r>
        <w:t xml:space="preserve"> </w:t>
      </w:r>
      <w:hyperlink r:id="rId44">
        <w:r>
          <w:rPr>
            <w:rStyle w:val="Hyperlink"/>
          </w:rPr>
          <w:t xml:space="preserve">Kasabach-merritt coagulopathy complicating klippel-trenaunay-weber syndrome in pregnancy</w:t>
        </w:r>
      </w:hyperlink>
      <w:r>
        <w:t xml:space="preserve">. Obstetrics &amp; Gynecology. 1995;85:831–3.</w:t>
      </w:r>
    </w:p>
    <w:bookmarkEnd w:id="45"/>
    <w:bookmarkStart w:id="47" w:name="ref-Kanmani2021"/>
    <w:p>
      <w:pPr>
        <w:pStyle w:val="Bibliography"/>
      </w:pPr>
      <w:r>
        <w:t xml:space="preserve">10. Kanmani K, Meena M, Narmadha D, A. GV.</w:t>
      </w:r>
      <w:r>
        <w:t xml:space="preserve"> </w:t>
      </w:r>
      <w:hyperlink r:id="rId46">
        <w:r>
          <w:rPr>
            <w:rStyle w:val="Hyperlink"/>
          </w:rPr>
          <w:t xml:space="preserve">Klippel trenaunay syndrome–an obstetric challenge</w:t>
        </w:r>
      </w:hyperlink>
      <w:r>
        <w:t xml:space="preserve">. International Journal of Reproduction, Contraception, Obstetrics and Gynecology. 2021;10:2081–4.</w:t>
      </w:r>
    </w:p>
    <w:bookmarkEnd w:id="47"/>
    <w:bookmarkStart w:id="49"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48">
        <w:r>
          <w:rPr>
            <w:rStyle w:val="Hyperlink"/>
          </w:rPr>
          <w:t xml:space="preserve">http://dx.doi.org/10.1097/MD.0000000000018378</w:t>
        </w:r>
      </w:hyperlink>
    </w:p>
    <w:bookmarkEnd w:id="49"/>
    <w:bookmarkStart w:id="51"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0">
        <w:r>
          <w:rPr>
            <w:rStyle w:val="Hyperlink"/>
          </w:rPr>
          <w:t xml:space="preserve">http://dx.doi.org/10.7759/cureus.90065</w:t>
        </w:r>
      </w:hyperlink>
    </w:p>
    <w:bookmarkEnd w:id="51"/>
    <w:bookmarkStart w:id="53"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2">
        <w:r>
          <w:rPr>
            <w:rStyle w:val="Hyperlink"/>
          </w:rPr>
          <w:t xml:space="preserve">http://dx.doi.org/10.1016/0720-048x(94)90340-9</w:t>
        </w:r>
      </w:hyperlink>
    </w:p>
    <w:bookmarkEnd w:id="53"/>
    <w:bookmarkStart w:id="55"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4">
        <w:r>
          <w:rPr>
            <w:rStyle w:val="Hyperlink"/>
          </w:rPr>
          <w:t xml:space="preserve">http://dx.doi.org/10.7759/cureus.8023</w:t>
        </w:r>
      </w:hyperlink>
    </w:p>
    <w:bookmarkEnd w:id="55"/>
    <w:bookmarkStart w:id="57"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6">
        <w:r>
          <w:rPr>
            <w:rStyle w:val="Hyperlink"/>
          </w:rPr>
          <w:t xml:space="preserve">http://dx.doi.org/10.1002/ijgo.15889</w:t>
        </w:r>
      </w:hyperlink>
    </w:p>
    <w:bookmarkEnd w:id="57"/>
    <w:bookmarkStart w:id="59" w:name="ref-Akay2025"/>
    <w:p>
      <w:pPr>
        <w:pStyle w:val="Bibliography"/>
      </w:pPr>
      <w:r>
        <w:t xml:space="preserve">16. Akay E, Uzun Gül AD, Türkoğlu A.</w:t>
      </w:r>
      <w:r>
        <w:t xml:space="preserve"> </w:t>
      </w:r>
      <w:hyperlink r:id="rId5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2026-06-11T13:23:04Z</dcterms:created>
  <dcterms:modified xsi:type="dcterms:W3CDTF">2026-06-11T13:23:04Z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