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7"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w:t>
      </w:r>
      <w:r>
        <w:t xml:space="preserve"> </w:t>
      </w:r>
      <w:hyperlink w:anchor="tbl-1">
        <w:r>
          <w:rPr>
            <w:rStyle w:val="Hyperlink"/>
          </w:rPr>
          <w:t xml:space="preserve">Table 1</w:t>
        </w:r>
      </w:hyperlink>
      <w:r>
        <w:t xml:space="preserve">.</w:t>
      </w:r>
    </w:p>
    <w:p>
      <w:pPr>
        <w:pStyle w:val="BodyText"/>
      </w:pPr>
      <w:r>
        <w:t xml:space="preserve">Her past medical history is notable for Klippel–Trenaunay syndrome (KTS), diagnosed at two years of age, with multisystem involvement affecting both lower extremities as well as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hyperlink w:anchor="tbl-2">
        <w:r>
          <w:rPr>
            <w:rStyle w:val="Hyperlink"/>
          </w:rPr>
          <w:t xml:space="preserve">Table 2</w:t>
        </w:r>
      </w:hyperlink>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LMWH resumed, tranexamic acid initiated</w:t>
                  </w:r>
                </w:p>
                <w:p>
                  <w:pPr>
                    <w:jc w:val="left"/>
                    <w:jc w:val="center"/>
                  </w:pPr>
                  <w:r>
                    <w:rPr>
                      <w:b/>
                      <w:bCs/>
                    </w:rPr>
                    <w:t xml:space="preserve">Day 4:</w:t>
                  </w:r>
                  <w:r>
                    <w:t xml:space="preserve"> </w:t>
                  </w:r>
                  <w:r>
                    <w:t xml:space="preserve">Hypofibrinogenemia (1.4 g/L), elevated D-dimer (35.2 µg/mL)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Laboratory results throughout the clinical course</w:t>
            </w:r>
          </w:p>
          <w:tbl>
            <w:tblPr>
              <w:tblStyle w:val="Table"/>
              <w:tblW w:type="pct" w:w="4767"/>
              <w:tblLayout w:type="fixed"/>
              <w:tblLook w:firstRow="1" w:lastRow="0" w:firstColumn="0" w:lastColumn="0" w:noHBand="0" w:noVBand="0" w:val="0020"/>
            </w:tblPr>
            <w:tblGrid>
              <w:gridCol w:w="1372"/>
              <w:gridCol w:w="1742"/>
              <w:gridCol w:w="739"/>
              <w:gridCol w:w="739"/>
              <w:gridCol w:w="528"/>
              <w:gridCol w:w="528"/>
              <w:gridCol w:w="475"/>
              <w:gridCol w:w="475"/>
              <w:gridCol w:w="950"/>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11.7–15.3</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140–271</w:t>
                  </w:r>
                </w:p>
              </w:tc>
            </w:tr>
          </w:tbl>
          <w:bookmarkEnd w:id="16"/>
          <w:p/>
        </w:tc>
      </w:tr>
    </w:tbl>
    <w:p>
      <w:pPr>
        <w:pStyle w:val="BodyText"/>
      </w:pPr>
      <w:r>
        <w:t xml:space="preserve">POD: Post operative day, Hb: Hemoglobin, HTC: Hematocrit, PT: Prothrombin time, ALP: Alkaline phosphatase, LDH : Lactate dehydrogenase.</w:t>
      </w:r>
    </w:p>
    <w:bookmarkEnd w:id="17"/>
    <w:bookmarkStart w:id="19"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57"/>
              <w:tblLayout w:type="fixed"/>
              <w:tblLook w:firstRow="1" w:lastRow="0" w:firstColumn="0" w:lastColumn="0" w:noHBand="0" w:noVBand="0" w:val="0020"/>
            </w:tblPr>
            <w:tblGrid>
              <w:gridCol w:w="572"/>
              <w:gridCol w:w="842"/>
              <w:gridCol w:w="2409"/>
              <w:gridCol w:w="1836"/>
              <w:gridCol w:w="1567"/>
              <w:gridCol w:w="623"/>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[9]</w:t>
                  </w:r>
                </w:p>
              </w:tc>
              <w:tc>
                <w:tcPr/>
                <w:p>
                  <w:pPr>
                    <w:pStyle w:val="Compact"/>
                    <w:jc w:val="left"/>
                    <w:jc w:val="center"/>
                  </w:pPr>
                  <w:r>
                    <w:t xml:space="preserve">22 years-old primigravida, 37 weeks’ gestation</w:t>
                  </w:r>
                </w:p>
              </w:tc>
              <w:tc>
                <w:tcPr/>
                <w:p>
                  <w:pPr>
                    <w:pStyle w:val="Compact"/>
                    <w:jc w:val="left"/>
                    <w:jc w:val="center"/>
                  </w:pPr>
                  <w:r>
                    <w:t xml:space="preserve">known KTS, hemangiomas, limb hypertrophy, massive vulvovaginal varicosities</w:t>
                  </w:r>
                </w:p>
              </w:tc>
              <w:tc>
                <w:tcPr/>
                <w:p>
                  <w:pPr>
                    <w:pStyle w:val="Compact"/>
                    <w:jc w:val="left"/>
                    <w:jc w:val="center"/>
                  </w:pPr>
                  <w:r>
                    <w:t xml:space="preserve">Post-op KMS: thrombocytopenia, decreased fibrinogen, prolonged PT/PTT, increased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[10]</w:t>
                  </w:r>
                </w:p>
              </w:tc>
              <w:tc>
                <w:tcPr/>
                <w:p>
                  <w:pPr>
                    <w:pStyle w:val="Compact"/>
                    <w:jc w:val="left"/>
                    <w:jc w:val="center"/>
                  </w:pPr>
                  <w:r>
                    <w:t xml:space="preserve">24 years-old, primigravida, 29 weeks’ gestation</w:t>
                  </w:r>
                </w:p>
              </w:tc>
              <w:tc>
                <w:tcPr/>
                <w:p>
                  <w:pPr>
                    <w:pStyle w:val="Compact"/>
                    <w:jc w:val="left"/>
                    <w:jc w:val="center"/>
                  </w:pPr>
                  <w:r>
                    <w:t xml:space="preserve">known KTS, bleeding gums, Limb hypertrophy, varicosities (vulvar, lower limb)</w:t>
                  </w:r>
                </w:p>
              </w:tc>
              <w:tc>
                <w:tcPr/>
                <w:p>
                  <w:pPr>
                    <w:pStyle w:val="Compact"/>
                    <w:jc w:val="left"/>
                    <w:jc w:val="center"/>
                  </w:pPr>
                  <w:r>
                    <w:t xml:space="preserve">Antenatal KMS: severe thrombocytopenia (limited laboratory investigation reported)</w:t>
                  </w:r>
                </w:p>
              </w:tc>
              <w:tc>
                <w:tcPr/>
                <w:p>
                  <w:pPr>
                    <w:pStyle w:val="Compact"/>
                    <w:jc w:val="left"/>
                    <w:jc w:val="center"/>
                  </w:pPr>
                  <w:r>
                    <w:t xml:space="preserve">Steroids + platelet transfusion; CS at 35 wks; post-op anticoagulation and corticosteroids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[11]</w:t>
                  </w:r>
                </w:p>
              </w:tc>
              <w:tc>
                <w:tcPr/>
                <w:p>
                  <w:pPr>
                    <w:jc w:val="left"/>
                    <w:jc w:val="center"/>
                  </w:pPr>
                  <w:r>
                    <w:t xml:space="preserve">26 years old.</w:t>
                  </w:r>
                </w:p>
                <w:p>
                  <w:pPr>
                    <w:jc w:val="left"/>
                    <w:jc w:val="center"/>
                  </w:pPr>
                  <w:r>
                    <w:t xml:space="preserve">Postpartum.</w:t>
                  </w:r>
                </w:p>
              </w:tc>
              <w:tc>
                <w:tcPr/>
                <w:p>
                  <w:pPr>
                    <w:jc w:val="left"/>
                    <w:jc w:val="center"/>
                  </w:pPr>
                  <w:r>
                    <w:t xml:space="preserve">KTS diagnosed in the third trimester of pregnancy.</w:t>
                  </w:r>
                </w:p>
                <w:p>
                  <w:pPr>
                    <w:jc w:val="left"/>
                    <w:jc w:val="center"/>
                  </w:pPr>
                  <w:r>
                    <w:t xml:space="preserve">Admitted on day 10 postpartum with severe postpartum hemorrahge, hemodynamic instability, ecchymoses, massive limb hypertrophy, varicosities</w:t>
                  </w:r>
                </w:p>
              </w:tc>
              <w:tc>
                <w:tcPr/>
                <w:p>
                  <w:pPr>
                    <w:pStyle w:val="Compact"/>
                    <w:jc w:val="left"/>
                    <w:jc w:val="center"/>
                  </w:pPr>
                  <w:r>
                    <w:t xml:space="preserve">Post-op KMS: thrombocytopenia, ↓ fibrinogen, ↑ PT/APTT, increased fibrin split products, increased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[9–11]</w:t>
      </w:r>
      <w:r>
        <w:t xml:space="preserve">, she exhibited the hallmark triad of varicosities, limb hypertrophy, and hemangiomas, with port-wine stains additionally present over the gluteal region.</w:t>
      </w:r>
    </w:p>
    <w:p>
      <w:pPr>
        <w:pStyle w:val="BodyText"/>
      </w:pPr>
      <w:r>
        <w:t xml:space="preserve">In 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w:t>
      </w:r>
    </w:p>
    <w:p>
      <w:pPr>
        <w:pStyle w:val="BodyText"/>
      </w:pPr>
      <w:r>
        <w:t xml:space="preserve">In our patient, clinically significant hematuria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w:t>
      </w:r>
      <w:r>
        <w:t xml:space="preserve">[13]</w:t>
      </w:r>
      <w:r>
        <w:t xml:space="preserve">]</w:t>
      </w:r>
      <w:r>
        <w:t xml:space="preserve">[14]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64" w:name="references"/>
    <w:p>
      <w:pPr>
        <w:pStyle w:val="Heading1"/>
      </w:pPr>
      <w:r>
        <w:t xml:space="preserve">References</w:t>
      </w:r>
    </w:p>
    <w:bookmarkStart w:id="63"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9">
        <w:r>
          <w:rPr>
            <w:rStyle w:val="Hyperlink"/>
          </w:rPr>
          <w:t xml:space="preserve">http://dx.doi.org/10.1016/S0025-6196(11)63615-X</w:t>
        </w:r>
      </w:hyperlink>
    </w:p>
    <w:bookmarkEnd w:id="40"/>
    <w:bookmarkStart w:id="42"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3">
        <w:r>
          <w:rPr>
            <w:rStyle w:val="Hyperlink"/>
          </w:rPr>
          <w:t xml:space="preserve">http://dx.doi.org/10.1177/1179545X17699849</w:t>
        </w:r>
      </w:hyperlink>
    </w:p>
    <w:bookmarkEnd w:id="44"/>
    <w:bookmarkStart w:id="46" w:name="ref-Tian2026"/>
    <w:p>
      <w:pPr>
        <w:pStyle w:val="Bibliography"/>
      </w:pPr>
      <w:r>
        <w:t xml:space="preserve">8.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Neubert1995"/>
    <w:p>
      <w:pPr>
        <w:pStyle w:val="Bibliography"/>
      </w:pPr>
      <w:r>
        <w:t xml:space="preserve">9. Neubert GA, Golden MA, Rose NC.</w:t>
      </w:r>
      <w:r>
        <w:t xml:space="preserve"> </w:t>
      </w:r>
      <w:hyperlink r:id="rId47">
        <w:r>
          <w:rPr>
            <w:rStyle w:val="Hyperlink"/>
          </w:rPr>
          <w:t xml:space="preserve">Kasabach-merritt coagulopathy complicating klippel-trenaunay-weber syndrome in pregnancy</w:t>
        </w:r>
      </w:hyperlink>
      <w:r>
        <w:t xml:space="preserve">. Obstetrics &amp; Gynecology. 1995;85:831–3.</w:t>
      </w:r>
    </w:p>
    <w:bookmarkEnd w:id="48"/>
    <w:bookmarkStart w:id="50" w:name="ref-Kanmani2021"/>
    <w:p>
      <w:pPr>
        <w:pStyle w:val="Bibliography"/>
      </w:pPr>
      <w:r>
        <w:t xml:space="preserve">10. Kanmani K, Meena M, Narmadha D, A. GV.</w:t>
      </w:r>
      <w:r>
        <w:t xml:space="preserve"> </w:t>
      </w:r>
      <w:hyperlink r:id="rId49">
        <w:r>
          <w:rPr>
            <w:rStyle w:val="Hyperlink"/>
          </w:rPr>
          <w:t xml:space="preserve">Klippel trenaunay syndrome–an obstetric challenge</w:t>
        </w:r>
      </w:hyperlink>
      <w:r>
        <w:t xml:space="preserve">. International Journal of Reproduction, Contraception, Obstetrics and Gynecology. 2021;10:2081–4.</w:t>
      </w:r>
    </w:p>
    <w:bookmarkEnd w:id="50"/>
    <w:bookmarkStart w:id="52"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51">
        <w:r>
          <w:rPr>
            <w:rStyle w:val="Hyperlink"/>
          </w:rPr>
          <w:t xml:space="preserve">http://dx.doi.org/10.1097/MD.0000000000018378</w:t>
        </w:r>
      </w:hyperlink>
    </w:p>
    <w:bookmarkEnd w:id="52"/>
    <w:bookmarkStart w:id="54"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3">
        <w:r>
          <w:rPr>
            <w:rStyle w:val="Hyperlink"/>
          </w:rPr>
          <w:t xml:space="preserve">http://dx.doi.org/10.7759/cureus.90065</w:t>
        </w:r>
      </w:hyperlink>
    </w:p>
    <w:bookmarkEnd w:id="54"/>
    <w:bookmarkStart w:id="56"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5">
        <w:r>
          <w:rPr>
            <w:rStyle w:val="Hyperlink"/>
          </w:rPr>
          <w:t xml:space="preserve">http://dx.doi.org/10.1016/0720-048x(94)90340-9</w:t>
        </w:r>
      </w:hyperlink>
    </w:p>
    <w:bookmarkEnd w:id="56"/>
    <w:bookmarkStart w:id="58"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7">
        <w:r>
          <w:rPr>
            <w:rStyle w:val="Hyperlink"/>
          </w:rPr>
          <w:t xml:space="preserve">http://dx.doi.org/10.7759/cureus.8023</w:t>
        </w:r>
      </w:hyperlink>
    </w:p>
    <w:bookmarkEnd w:id="58"/>
    <w:bookmarkStart w:id="60"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9">
        <w:r>
          <w:rPr>
            <w:rStyle w:val="Hyperlink"/>
          </w:rPr>
          <w:t xml:space="preserve">http://dx.doi.org/10.1002/ijgo.15889</w:t>
        </w:r>
      </w:hyperlink>
    </w:p>
    <w:bookmarkEnd w:id="60"/>
    <w:bookmarkStart w:id="62" w:name="ref-Akay2025"/>
    <w:p>
      <w:pPr>
        <w:pStyle w:val="Bibliography"/>
      </w:pPr>
      <w:r>
        <w:t xml:space="preserve">16. Akay E, Uzun Gül AD, Türkoğlu A.</w:t>
      </w:r>
      <w:r>
        <w:t xml:space="preserve"> </w:t>
      </w:r>
      <w:hyperlink r:id="rId6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2026-06-11T15:58:09Z</dcterms:created>
  <dcterms:modified xsi:type="dcterms:W3CDTF">2026-06-11T15:58:09Z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source</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