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Klippel-Trenaunay Syndrome complicated by Kasabach-Merritt syndrome during pregnancy</w:t>
      </w:r>
    </w:p>
    <w:p>
      <w:pPr>
        <w:pStyle w:val="Subtitle"/>
      </w:pPr>
      <w:r>
        <w:t xml:space="preserve">A case report and review of the literature</w:t>
      </w:r>
    </w:p>
    <w:bookmarkStart w:id="20" w:name="authors"/>
    <w:p>
      <w:pPr>
        <w:pStyle w:val="Heading1"/>
      </w:pPr>
      <w:r>
        <w:t xml:space="preserve">Authors</w:t>
      </w:r>
    </w:p>
    <w:p>
      <w:pPr>
        <w:pStyle w:val="FirstParagraph"/>
      </w:pPr>
      <w:r>
        <w:t xml:space="preserve">Mourad Elfaham</w:t>
      </w:r>
      <w:r>
        <w:rPr>
          <w:vertAlign w:val="superscript"/>
        </w:rPr>
        <w:t xml:space="preserve">1</w:t>
      </w:r>
      <w:r>
        <w:t xml:space="preserve">, Aya Attia</w:t>
      </w:r>
      <w:r>
        <w:rPr>
          <w:vertAlign w:val="superscript"/>
        </w:rPr>
        <w:t xml:space="preserve">1</w:t>
      </w:r>
      <w:r>
        <w:t xml:space="preserve">, Mohamed Waheed</w:t>
      </w:r>
      <w:r>
        <w:rPr>
          <w:vertAlign w:val="superscript"/>
        </w:rPr>
        <w:t xml:space="preserve">1</w:t>
      </w:r>
      <w:r>
        <w:t xml:space="preserve">, Mohamed Essam</w:t>
      </w:r>
      <w:r>
        <w:rPr>
          <w:vertAlign w:val="superscript"/>
        </w:rPr>
        <w:t xml:space="preserve">1</w:t>
      </w:r>
      <w:r>
        <w:t xml:space="preserve">, Salma Saad</w:t>
      </w:r>
      <w:r>
        <w:rPr>
          <w:vertAlign w:val="superscript"/>
        </w:rPr>
        <w:t xml:space="preserve">1</w:t>
      </w:r>
      <w:r>
        <w:t xml:space="preserve">, Mariam Sarhan</w:t>
      </w:r>
      <w:r>
        <w:rPr>
          <w:vertAlign w:val="superscript"/>
        </w:rPr>
        <w:t xml:space="preserve">1</w:t>
      </w:r>
      <w:r>
        <w:t xml:space="preserve">, Marwa Mourad</w:t>
      </w:r>
      <w:r>
        <w:rPr>
          <w:vertAlign w:val="superscript"/>
        </w:rPr>
        <w:t xml:space="preserve">1</w:t>
      </w:r>
      <w:r>
        <w:t xml:space="preserve">, Mohamed Hegazy</w:t>
      </w:r>
      <w:r>
        <w:rPr>
          <w:vertAlign w:val="superscript"/>
        </w:rPr>
        <w:t xml:space="preserve">1</w:t>
      </w:r>
      <w:r>
        <w:t xml:space="preserve">, Farah Said</w:t>
      </w:r>
      <w:r>
        <w:rPr>
          <w:vertAlign w:val="superscript"/>
        </w:rPr>
        <w:t xml:space="preserve">1</w:t>
      </w:r>
      <w:r>
        <w:t xml:space="preserve">, Sarah Tarek</w:t>
      </w:r>
      <w:r>
        <w:rPr>
          <w:vertAlign w:val="superscript"/>
        </w:rPr>
        <w:t xml:space="preserve">1</w:t>
      </w:r>
      <w:r>
        <w:t xml:space="preserve">, Sara Ibrahim Abdelkader</w:t>
      </w:r>
      <w:r>
        <w:rPr>
          <w:vertAlign w:val="superscript"/>
        </w:rPr>
        <w:t xml:space="preserve">2*</w:t>
      </w:r>
      <w:r>
        <w:t xml:space="preserve">, Rahma Alaa Abdelhafez</w:t>
      </w:r>
      <w:r>
        <w:rPr>
          <w:vertAlign w:val="superscript"/>
        </w:rPr>
        <w:t xml:space="preserve">2</w:t>
      </w:r>
      <w:r>
        <w:t xml:space="preserve">, Mohammed Ghanem</w:t>
      </w:r>
      <w:r>
        <w:rPr>
          <w:vertAlign w:val="superscript"/>
        </w:rPr>
        <w:t xml:space="preserve">2</w:t>
      </w:r>
      <w:r>
        <w:t xml:space="preserve">, Ahmed Azab</w:t>
      </w:r>
      <w:r>
        <w:rPr>
          <w:vertAlign w:val="superscript"/>
        </w:rPr>
        <w:t xml:space="preserve">2</w:t>
      </w:r>
      <w:r>
        <w:t xml:space="preserve">, Belgin Ahmed Nagah</w:t>
      </w:r>
      <w:r>
        <w:rPr>
          <w:vertAlign w:val="superscript"/>
        </w:rPr>
        <w:t xml:space="preserve">2</w:t>
      </w:r>
      <w:r>
        <w:t xml:space="preserve">, Nour Atif</w:t>
      </w:r>
      <w:r>
        <w:rPr>
          <w:vertAlign w:val="superscript"/>
        </w:rPr>
        <w:t xml:space="preserve">2</w:t>
      </w:r>
      <w:r>
        <w:t xml:space="preserve">, Maha Moemen</w:t>
      </w:r>
      <w:r>
        <w:rPr>
          <w:vertAlign w:val="superscript"/>
        </w:rPr>
        <w:t xml:space="preserve">2</w:t>
      </w:r>
      <w:r>
        <w:t xml:space="preserve">, Ashraf Nabhan</w:t>
      </w:r>
      <w:r>
        <w:rPr>
          <w:vertAlign w:val="superscript"/>
        </w:rPr>
        <w:t xml:space="preserve">1,3</w:t>
      </w:r>
    </w:p>
    <w:bookmarkEnd w:id="20"/>
    <w:bookmarkStart w:id="23" w:name="affiliation"/>
    <w:p>
      <w:pPr>
        <w:pStyle w:val="Heading1"/>
      </w:pPr>
      <w:r>
        <w:t xml:space="preserve">Affiliation</w:t>
      </w:r>
    </w:p>
    <w:p>
      <w:pPr>
        <w:pStyle w:val="FirstParagraph"/>
      </w:pPr>
      <w:r>
        <w:rPr>
          <w:vertAlign w:val="superscript"/>
        </w:rPr>
        <w:t xml:space="preserve">1</w:t>
      </w:r>
      <w:r>
        <w:t xml:space="preserve"> </w:t>
      </w:r>
      <w:r>
        <w:t xml:space="preserve">Faculty of Medicine, Ain Shams University, Cairo, Egypt.</w:t>
      </w:r>
    </w:p>
    <w:p>
      <w:pPr>
        <w:pStyle w:val="BodyText"/>
      </w:pPr>
      <w:r>
        <w:rPr>
          <w:vertAlign w:val="superscript"/>
        </w:rPr>
        <w:t xml:space="preserve">2</w:t>
      </w:r>
      <w:r>
        <w:t xml:space="preserve"> </w:t>
      </w:r>
      <w:r>
        <w:t xml:space="preserve">Faculty of Medicine, Galala University, Attaka, Suez, Egypt.</w:t>
      </w:r>
    </w:p>
    <w:p>
      <w:pPr>
        <w:pStyle w:val="BodyText"/>
      </w:pPr>
      <w:r>
        <w:rPr>
          <w:vertAlign w:val="superscript"/>
        </w:rPr>
        <w:t xml:space="preserve">3</w:t>
      </w:r>
      <w:r>
        <w:t xml:space="preserve"> </w:t>
      </w:r>
      <w:r>
        <w:t xml:space="preserve">Faculty of Medicine, MTI University, Cairo, Egypt.</w:t>
      </w:r>
    </w:p>
    <w:p>
      <w:pPr>
        <w:pStyle w:val="BodyText"/>
      </w:pPr>
      <w:r>
        <w:t xml:space="preserve">* Corresponding author: Sara Ibrahim Abdelkader. Faculty of Medicine, Galala University, Attaka, Suez, Egypt. Email:</w:t>
      </w:r>
      <w:r>
        <w:t xml:space="preserve"> </w:t>
      </w:r>
      <w:hyperlink r:id="rId21">
        <w:r>
          <w:rPr>
            <w:rStyle w:val="Hyperlink"/>
          </w:rPr>
          <w:t xml:space="preserve">sara.elzeftawy@gu.edu.eg</w:t>
        </w:r>
      </w:hyperlink>
      <w:r>
        <w:t xml:space="preserve">, ORCID:</w:t>
      </w:r>
      <w:r>
        <w:t xml:space="preserve"> </w:t>
      </w:r>
      <w:hyperlink r:id="rId22">
        <w:r>
          <w:rPr>
            <w:rStyle w:val="Hyperlink"/>
          </w:rPr>
          <w:t xml:space="preserve">0009-0002-5877-4722</w:t>
        </w:r>
      </w:hyperlink>
    </w:p>
    <w:p>
      <w:pPr>
        <w:pStyle w:val="BodyText"/>
      </w:pPr>
      <w:r>
        <w:rPr>
          <w:b/>
          <w:bCs/>
        </w:rPr>
        <w:t xml:space="preserve">Word count:</w:t>
      </w:r>
      <w:r>
        <w:t xml:space="preserve"> </w:t>
      </w:r>
      <w:r>
        <w:t xml:space="preserve">2500</w:t>
      </w:r>
    </w:p>
    <w:bookmarkEnd w:id="23"/>
    <w:bookmarkStart w:id="24" w:name="abstract"/>
    <w:p>
      <w:pPr>
        <w:pStyle w:val="Heading1"/>
      </w:pPr>
      <w:r>
        <w:t xml:space="preserve">Abstract</w:t>
      </w:r>
    </w:p>
    <w:p>
      <w:pPr>
        <w:pStyle w:val="FirstParagraph"/>
      </w:pPr>
      <w:r>
        <w:t xml:space="preserve">Klippel–Trenaunay syndrome is a rare congenital vascular disorder that may be complicated by Kasabach Merritt syndrome, posing significant maternal and fetal risks during pregnancy.</w:t>
      </w:r>
    </w:p>
    <w:p>
      <w:pPr>
        <w:pStyle w:val="BodyText"/>
      </w:pPr>
      <w:r>
        <w:t xml:space="preserve">We report the case of a 28-year-old pregnant woman with known Klippel–Trenaunay syndrome who developed Kasabach–Merritt phenomenon during pregnancy. The fetus suffered severe growth restriction and absent end-diastolic flow on umbilical artery Doppler. A cesarean section was performed at 35 weeks of gestation. A growth-restricted neonate was delivered and managed accordingly.</w:t>
      </w:r>
    </w:p>
    <w:p>
      <w:pPr>
        <w:pStyle w:val="BodyText"/>
      </w:pPr>
      <w:r>
        <w:t xml:space="preserve">This case highlights the complexity of managing pregnancy in women with Klippel–Trenaunay syndrome complicated by Kasabach Merritt syndrome and emphasizes the importance of multidisciplinary surveillance and timely delivery.</w:t>
      </w:r>
    </w:p>
    <w:p>
      <w:pPr>
        <w:pStyle w:val="BodyText"/>
      </w:pPr>
      <w:r>
        <w:t xml:space="preserve">Keywords: Klippel–Trenaunay syndrome; angioosteohypertrophy syndrome; Kasabach Merritt syndrome; fetal growth restriction; high-risk pregnancy</w:t>
      </w:r>
    </w:p>
    <w:bookmarkEnd w:id="24"/>
    <w:bookmarkStart w:id="25" w:name="introduction"/>
    <w:p>
      <w:pPr>
        <w:pStyle w:val="Heading1"/>
      </w:pPr>
      <w:r>
        <w:t xml:space="preserve">Introduction</w:t>
      </w:r>
    </w:p>
    <w:p>
      <w:pPr>
        <w:pStyle w:val="FirstParagraph"/>
      </w:pPr>
      <w:r>
        <w:t xml:space="preserve">Klippel-Trenaunay syndrome (KTS) is a rare genetic syndrome characterized by localized cutaneous hemangiomas, venous varicosities, and asymmetric osseous hypertrophy of the ipsilateral extremities.</w:t>
      </w:r>
      <w:r>
        <w:t xml:space="preserve"> </w:t>
      </w:r>
      <w:r>
        <w:t xml:space="preserve">[1]</w:t>
      </w:r>
    </w:p>
    <w:p>
      <w:pPr>
        <w:pStyle w:val="BodyText"/>
      </w:pPr>
      <w:r>
        <w:t xml:space="preserve">Complications at delivery can include disseminated intravascular coagulation (DIC) and massive hemorrhage. Coagulopathic events may be due to persistent blood loss or may reflect the development of Kasabach-Merritt syndrome (KMS). KMS is defined by thrombocytopenia of varying degrees and a consumptive coagulopathy seen in association with hemangiomas. A microangiopathic hemolytic anemia may also be present.</w:t>
      </w:r>
      <w:r>
        <w:t xml:space="preserve"> </w:t>
      </w:r>
      <w:r>
        <w:t xml:space="preserve">[2]</w:t>
      </w:r>
    </w:p>
    <w:p>
      <w:pPr>
        <w:pStyle w:val="BodyText"/>
      </w:pPr>
      <w:r>
        <w:t xml:space="preserve">Fetal growth restriction (FGR) with abnormal umbilical artery Doppler findings, such as absent end-diastolic flow, reflects placental insufficiency and is associated with adverse perinatal outcomes.</w:t>
      </w:r>
      <w:r>
        <w:t xml:space="preserve"> </w:t>
      </w:r>
      <w:r>
        <w:t xml:space="preserve">[3]</w:t>
      </w:r>
    </w:p>
    <w:bookmarkEnd w:id="25"/>
    <w:bookmarkStart w:id="26" w:name="case-presentation"/>
    <w:p>
      <w:pPr>
        <w:pStyle w:val="Heading1"/>
      </w:pPr>
      <w:r>
        <w:t xml:space="preserve">Case Presentation</w:t>
      </w:r>
    </w:p>
    <w:p>
      <w:pPr>
        <w:pStyle w:val="FirstParagraph"/>
      </w:pPr>
      <w:r>
        <w:t xml:space="preserve">A 28-year-old multigravida woman (G3, P2 both by cesarean sections) presented at 30 weeks by clinical significant hematuria.</w:t>
      </w:r>
    </w:p>
    <w:p>
      <w:pPr>
        <w:pStyle w:val="BodyText"/>
      </w:pPr>
      <w:r>
        <w:t xml:space="preserve">She had a known diagnosis of KTS involving both lower limbs, back, pelvis, and urinary bladder, diagnosed at two years of age.</w:t>
      </w:r>
    </w:p>
    <w:p>
      <w:pPr>
        <w:pStyle w:val="BodyText"/>
      </w:pPr>
      <w:r>
        <w:t xml:space="preserve">Maternal Clinical Findings</w:t>
      </w:r>
    </w:p>
    <w:p>
      <w:pPr>
        <w:pStyle w:val="BodyText"/>
      </w:pPr>
      <w:r>
        <w:t xml:space="preserve">Blood pressure: 120/80 mmhg, temperature 36.2 C, pulse 68 beats per minute.</w:t>
      </w:r>
    </w:p>
    <w:p>
      <w:pPr>
        <w:pStyle w:val="BodyText"/>
      </w:pPr>
      <w:r>
        <w:t xml:space="preserve">Presence of vascular malformations: port wine in the back and gulteal region.</w:t>
      </w:r>
    </w:p>
    <w:p>
      <w:pPr>
        <w:pStyle w:val="BodyText"/>
      </w:pPr>
      <w:r>
        <w:t xml:space="preserve">She had a discrepancy in the length of both lower limbs.</w:t>
      </w:r>
    </w:p>
    <w:p>
      <w:pPr>
        <w:pStyle w:val="BodyText"/>
      </w:pPr>
      <w:r>
        <w:t xml:space="preserve">Urological consultation for the significant hemturia. Initial management included IV tranexamic acid and indwelling silicon triple way urinary catheter for one week.</w:t>
      </w:r>
    </w:p>
    <w:p>
      <w:pPr>
        <w:pStyle w:val="BodyText"/>
      </w:pPr>
      <w:r>
        <w:t xml:space="preserve">Her laboratory findings revealed</w:t>
      </w:r>
    </w:p>
    <w:p>
      <w:pPr>
        <w:pStyle w:val="BodyText"/>
      </w:pPr>
      <w:r>
        <w:t xml:space="preserve">Hemoglobin:</w:t>
      </w:r>
    </w:p>
    <w:p>
      <w:pPr>
        <w:pStyle w:val="BodyText"/>
      </w:pPr>
      <w:r>
        <w:t xml:space="preserve">• Platelet count:</w:t>
      </w:r>
    </w:p>
    <w:p>
      <w:pPr>
        <w:pStyle w:val="BodyText"/>
      </w:pPr>
      <w:r>
        <w:t xml:space="preserve">• Fibrinogen:</w:t>
      </w:r>
    </w:p>
    <w:p>
      <w:pPr>
        <w:pStyle w:val="BodyText"/>
      </w:pPr>
      <w:r>
        <w:t xml:space="preserve">• D-dimer:</w:t>
      </w:r>
    </w:p>
    <w:p>
      <w:pPr>
        <w:pStyle w:val="BodyText"/>
      </w:pPr>
      <w:r>
        <w:t xml:space="preserve">These Findings were suggestive of KMS</w:t>
      </w:r>
    </w:p>
    <w:p>
      <w:pPr>
        <w:pStyle w:val="BodyText"/>
      </w:pPr>
      <w:r>
        <w:t xml:space="preserve">The patient received six units of packed cell transfusion to correct the worsening hemoglobin.</w:t>
      </w:r>
    </w:p>
    <w:p>
      <w:pPr>
        <w:pStyle w:val="BodyText"/>
      </w:pPr>
      <w:r>
        <w:t xml:space="preserve">Fetal Assessment: Ultrasound examination at 30 weeks demonstrated:</w:t>
      </w:r>
    </w:p>
    <w:p>
      <w:pPr>
        <w:pStyle w:val="BodyText"/>
      </w:pPr>
      <w:r>
        <w:t xml:space="preserve">• Estimated fetal weight below the 10th percentile</w:t>
      </w:r>
    </w:p>
    <w:p>
      <w:pPr>
        <w:pStyle w:val="BodyText"/>
      </w:pPr>
      <w:r>
        <w:t xml:space="preserve">• Abnormal umbilical artery Doppler with absent end-diastolic blood flow</w:t>
      </w:r>
    </w:p>
    <w:p>
      <w:pPr>
        <w:pStyle w:val="BodyText"/>
      </w:pPr>
      <w:r>
        <w:t xml:space="preserve">• Amniotic fluid index:</w:t>
      </w:r>
    </w:p>
    <w:p>
      <w:pPr>
        <w:pStyle w:val="BodyText"/>
      </w:pPr>
      <w:r>
        <w:t xml:space="preserve">MRV revealed extensive venous malformations reaching anterior abdominal wall,pelvis, cervix, vagina, and urinary bladder.</w:t>
      </w:r>
    </w:p>
    <w:p>
      <w:pPr>
        <w:pStyle w:val="BodyText"/>
      </w:pPr>
      <w:r>
        <w:t xml:space="preserve">Pelvi-abbdominal ultrasound revealed two iso-echoic soft tissue masses in the posterior wall of the urinary bladder with maximum size measuring 2 x 3 cm.</w:t>
      </w:r>
    </w:p>
    <w:p>
      <w:pPr>
        <w:pStyle w:val="BodyText"/>
      </w:pPr>
      <w:r>
        <w:t xml:space="preserve">At 35 weeks, based on worsening fetal Doppler parameters and maternal risks, a multidisciplinary team involving obstetrics, hematology, anesthesia, and neonatology recommended delivery by cesarean section.</w:t>
      </w:r>
    </w:p>
    <w:p>
      <w:pPr>
        <w:pStyle w:val="BodyText"/>
      </w:pPr>
      <w:r>
        <w:t xml:space="preserve">Cesarean delivery and Neonatal Outcome</w:t>
      </w:r>
    </w:p>
    <w:p>
      <w:pPr>
        <w:pStyle w:val="BodyText"/>
      </w:pPr>
      <w:r>
        <w:t xml:space="preserve">A cesarean section was performed at 35 weeks of gestation under general endotracheal anesethsia. Vertical midline abdominal incision was made. Significant varicosities was seen in the anterior abdominal wall and over the lower uterine segment and in the interface between the uterus and the bladder. Lower segment insicion of the uterus to deliver the fetus and placenta. This was followed by closure of the uterine wall in two layers. Hemostasis secured. No intraperitoneal drains were left. Only a subcutaneous drain was inserted for seven days. The skin was closed by interrupted mattress sutures.</w:t>
      </w:r>
    </w:p>
    <w:p>
      <w:pPr>
        <w:pStyle w:val="BodyText"/>
      </w:pPr>
      <w:r>
        <w:t xml:space="preserve">A female neonate weighing 1900 g was delivered with Apgar scores of 7 and 9 at 1 and 5 minutes respectively. The neonate did not require respiratory support nor observation.</w:t>
      </w:r>
    </w:p>
    <w:p>
      <w:pPr>
        <w:pStyle w:val="BodyText"/>
      </w:pPr>
      <w:r>
        <w:t xml:space="preserve">Maternal postoperative course</w:t>
      </w:r>
    </w:p>
    <w:p>
      <w:pPr>
        <w:pStyle w:val="BodyText"/>
      </w:pPr>
      <w:r>
        <w:t xml:space="preserve">Postoperatively, she had a hemoperitoneum and was admitted to the ICU. Although her immedaite day one postoperative hemoglobin was 9.3 g/dl and platelets 100,000, rapid deterioration to hemoglobin of 7 g/dl and platelet 70,000 occurred on the second postoperative day despite full replacement by blood products. She received ten units of packed cell transfusion and fresh frozen plasma (with a one to one ratio) over the course of seven days.</w:t>
      </w:r>
    </w:p>
    <w:p>
      <w:pPr>
        <w:pStyle w:val="BodyText"/>
      </w:pPr>
      <w:r>
        <w:t xml:space="preserve">On day three, TVUS revealed marked hemoperitoneum with a localized heamtoma realted to the lower uterine segment, approximately 12 cm in maximum length. Decision of conservation was taken by teh attending consultant and the head of the unit.</w:t>
      </w:r>
    </w:p>
    <w:p>
      <w:pPr>
        <w:pStyle w:val="BodyText"/>
      </w:pPr>
      <w:r>
        <w:t xml:space="preserve">On day 7, her hemogbin showed a plateau at 10.1 g/dl and remained for there days. Her platelets remained at 70,000.</w:t>
      </w:r>
    </w:p>
    <w:p>
      <w:pPr>
        <w:pStyle w:val="BodyText"/>
      </w:pPr>
      <w:r>
        <w:t xml:space="preserve">The patient was discharged on day ten postoperatively. She was seen on day 19 in the outpatient clinic. General condition was fair, lax abdomen, and skin sutures were removed with a perfect healing of the abdominal incision.</w:t>
      </w:r>
    </w:p>
    <w:bookmarkEnd w:id="26"/>
    <w:bookmarkStart w:id="27" w:name="discussion"/>
    <w:p>
      <w:pPr>
        <w:pStyle w:val="Heading1"/>
      </w:pPr>
      <w:r>
        <w:t xml:space="preserve">Discussion</w:t>
      </w:r>
    </w:p>
    <w:p>
      <w:pPr>
        <w:pStyle w:val="FirstParagraph"/>
      </w:pPr>
      <w:r>
        <w:t xml:space="preserve">The occurrence of KTS complicated by KMS during pregnancy is extremely rare, and, to our knowledge, only three cases have been reported.</w:t>
      </w:r>
      <w:r>
        <w:t xml:space="preserve"> </w:t>
      </w:r>
      <w:r>
        <w:t xml:space="preserve">[4–6]</w:t>
      </w:r>
    </w:p>
    <w:p>
      <w:pPr>
        <w:pStyle w:val="BodyText"/>
      </w:pPr>
      <w:r>
        <w:t xml:space="preserve">KTS is defined as a triad of clinical features, including unilateral cutaneous hemangiomas, varicose veins, soft tissue, and asymmetric osseous hypertrophy of the ipsilateral extremities. Cases may also have arteriovenous fistulae. A review KTS indicates a consistent absence or major atresia of the deep venous vascular system, causing limb elongation, venous stasis, varicosities, and edema. The etiology of KTS may reflect a mesodermal defect operative at angiogenesis and therefore explain the vascular abnormalities that define the syndrome. Complications in the affected extremity may include stasis dermatitis, skin ulceration, and recurrent hemarthrosis-all of which may require amputation of the limb for management.</w:t>
      </w:r>
    </w:p>
    <w:p>
      <w:pPr>
        <w:pStyle w:val="BodyText"/>
      </w:pPr>
      <w:r>
        <w:t xml:space="preserve">Our patient’s refractory coagulopathy prompted the diagnostic consideration of KMS. First reported in 1940, the syndrome consists of thrombocytopenia and a consumptive coagulopathy seen in association with hemangiomas. Consistent laboratory abnormalities include thrombocytopenia, decreased fibrinogen, and coagulation factors II, V, and Vill. Increased PT, PIT, and fibrin split products are also invariably present. A similar clinical presentation has been reported in association with KTS. The exact mechanism by which the thrombocytopenia and coagulopathy develop is unknown. A combination of venous stasis and abnormal endothelial cells within the hemangiomas likely functions to increase platelet pooling and destruction with activation of the coagulation cascade, resulting in a localized and self-perpetuating coagulopathy. Once established, the local consumption of clotting factors and platelets persisted in the hemangioma and resulted in hemorrhage at the incision site. A prominent feature of this patient’s persistent coagulopathy was the markedly elevated fibrin split products. This finding prompted our decision to use the plasminogen-activator inhibitory effects of aminocaproic acid after the failure of blood product replacement therapy to correct her coagulopathy.</w:t>
      </w:r>
    </w:p>
    <w:bookmarkEnd w:id="27"/>
    <w:bookmarkStart w:id="28" w:name="conclusion"/>
    <w:p>
      <w:pPr>
        <w:pStyle w:val="Heading1"/>
      </w:pPr>
      <w:r>
        <w:t xml:space="preserve">Conclusion</w:t>
      </w:r>
    </w:p>
    <w:p>
      <w:pPr>
        <w:pStyle w:val="FirstParagraph"/>
      </w:pPr>
      <w:r>
        <w:t xml:space="preserve">Pregnancy in women with Klippel–Trenaunay syndrome complicated by Kasabach–Merritt phenomenon is extremely rare and high risk. Intensive antenatal surveillance and multidisciplinary management are essential to optimize maternal and perinatal outcomes.</w:t>
      </w:r>
    </w:p>
    <w:bookmarkEnd w:id="28"/>
    <w:bookmarkStart w:id="36" w:name="declarations"/>
    <w:p>
      <w:pPr>
        <w:pStyle w:val="Heading1"/>
      </w:pPr>
      <w:r>
        <w:t xml:space="preserve">Declarations</w:t>
      </w:r>
    </w:p>
    <w:bookmarkStart w:id="29" w:name="Xd182db0490b2de20bd2b4e4cc8698599182035f"/>
    <w:p>
      <w:pPr>
        <w:pStyle w:val="Heading2"/>
      </w:pPr>
      <w:r>
        <w:t xml:space="preserve">Ethics approval and consent to participate</w:t>
      </w:r>
    </w:p>
    <w:p>
      <w:pPr>
        <w:pStyle w:val="FirstParagraph"/>
      </w:pPr>
      <w:r>
        <w:t xml:space="preserve">Not applicable.</w:t>
      </w:r>
    </w:p>
    <w:bookmarkEnd w:id="29"/>
    <w:bookmarkStart w:id="30" w:name="consent-for-publication"/>
    <w:p>
      <w:pPr>
        <w:pStyle w:val="Heading2"/>
      </w:pPr>
      <w:r>
        <w:t xml:space="preserve">Consent for publication</w:t>
      </w:r>
    </w:p>
    <w:p>
      <w:pPr>
        <w:pStyle w:val="FirstParagraph"/>
      </w:pPr>
      <w:r>
        <w:t xml:space="preserve">A written consent for publication has been obtained from the patient.</w:t>
      </w:r>
    </w:p>
    <w:bookmarkEnd w:id="30"/>
    <w:bookmarkStart w:id="31" w:name="availability-of-data-and-materials"/>
    <w:p>
      <w:pPr>
        <w:pStyle w:val="Heading2"/>
      </w:pPr>
      <w:r>
        <w:t xml:space="preserve">Availability of data and materials</w:t>
      </w:r>
    </w:p>
    <w:p>
      <w:pPr>
        <w:pStyle w:val="FirstParagraph"/>
      </w:pPr>
      <w:r>
        <w:t xml:space="preserve">The data and materials supporting the conclusions of this article are available as a supplementary materials.</w:t>
      </w:r>
    </w:p>
    <w:bookmarkEnd w:id="31"/>
    <w:bookmarkStart w:id="32" w:name="competing-interests"/>
    <w:p>
      <w:pPr>
        <w:pStyle w:val="Heading2"/>
      </w:pPr>
      <w:r>
        <w:t xml:space="preserve">Competing interests</w:t>
      </w:r>
    </w:p>
    <w:p>
      <w:pPr>
        <w:pStyle w:val="FirstParagraph"/>
      </w:pPr>
      <w:r>
        <w:t xml:space="preserve">The authors declare that they have no competing interests.</w:t>
      </w:r>
    </w:p>
    <w:bookmarkEnd w:id="32"/>
    <w:bookmarkStart w:id="3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33"/>
    <w:bookmarkStart w:id="34" w:name="authors-contributions"/>
    <w:p>
      <w:pPr>
        <w:pStyle w:val="Heading2"/>
      </w:pPr>
      <w:r>
        <w:t xml:space="preserve">Authors’ contributions</w:t>
      </w:r>
    </w:p>
    <w:p>
      <w:pPr>
        <w:pStyle w:val="FirstParagraph"/>
      </w:pPr>
      <w:r>
        <w:t xml:space="preserve">SIA, ME, AFN contributed to writing the first draft of the manuscript. All the authors revised the manuscript critically for important intellectual content. All authors approved the final version of the manuscript.</w:t>
      </w:r>
    </w:p>
    <w:bookmarkEnd w:id="34"/>
    <w:bookmarkStart w:id="35" w:name="acknowledgements"/>
    <w:p>
      <w:pPr>
        <w:pStyle w:val="Heading2"/>
      </w:pPr>
      <w:r>
        <w:t xml:space="preserve">Acknowledgements</w:t>
      </w:r>
    </w:p>
    <w:p>
      <w:pPr>
        <w:pStyle w:val="FirstParagraph"/>
      </w:pPr>
      <w:r>
        <w:t xml:space="preserve">We sincerely thank the healthcare providers at Ain Shams University Hospital of Obstetrics and Gynecology for their dedication and commitment to patient care in the operating room. We deeply appreciate their contributions and the valuable role they play in ensuring high-quality surgical care.</w:t>
      </w:r>
    </w:p>
    <w:bookmarkEnd w:id="35"/>
    <w:bookmarkEnd w:id="36"/>
    <w:bookmarkStart w:id="50" w:name="references"/>
    <w:p>
      <w:pPr>
        <w:pStyle w:val="Heading1"/>
      </w:pPr>
      <w:r>
        <w:t xml:space="preserve">References</w:t>
      </w:r>
    </w:p>
    <w:bookmarkStart w:id="49" w:name="refs"/>
    <w:bookmarkStart w:id="38" w:name="ref-Pavone2023"/>
    <w:p>
      <w:pPr>
        <w:pStyle w:val="Bibliography"/>
      </w:pPr>
      <w:r>
        <w:t xml:space="preserve">1. Pavone P, Marino L, Cacciaguerra G, Di Nora A, Parano E, Musumeci G, et al.</w:t>
      </w:r>
      <w:r>
        <w:t xml:space="preserve"> </w:t>
      </w:r>
      <w:hyperlink r:id="rId37">
        <w:r>
          <w:rPr>
            <w:rStyle w:val="Hyperlink"/>
          </w:rPr>
          <w:t xml:space="preserve">Klippel-trenaunay syndrome, segmental/focal overgrowth malformations: A review</w:t>
        </w:r>
      </w:hyperlink>
      <w:r>
        <w:t xml:space="preserve">. Children (Basel). 2023;10:1421.</w:t>
      </w:r>
    </w:p>
    <w:bookmarkEnd w:id="38"/>
    <w:bookmarkStart w:id="40" w:name="ref-Tian2026"/>
    <w:p>
      <w:pPr>
        <w:pStyle w:val="Bibliography"/>
      </w:pPr>
      <w:r>
        <w:t xml:space="preserve">2. Tian Y, Yuan Y, Wei L, Xu Z, Li L, Li L.</w:t>
      </w:r>
      <w:r>
        <w:t xml:space="preserve"> </w:t>
      </w:r>
      <w:hyperlink r:id="rId39">
        <w:r>
          <w:rPr>
            <w:rStyle w:val="Hyperlink"/>
          </w:rPr>
          <w:t xml:space="preserve">Kaposiform hemangioendothelioma: Diagnosis and treatment</w:t>
        </w:r>
      </w:hyperlink>
      <w:r>
        <w:t xml:space="preserve">. Pediatric Investigation. 2026;</w:t>
      </w:r>
    </w:p>
    <w:bookmarkEnd w:id="40"/>
    <w:bookmarkStart w:id="42" w:name="ref-Akay2025"/>
    <w:p>
      <w:pPr>
        <w:pStyle w:val="Bibliography"/>
      </w:pPr>
      <w:r>
        <w:t xml:space="preserve">3. Akay E, Uzun Gül AD, Türkoğlu A.</w:t>
      </w:r>
      <w:r>
        <w:t xml:space="preserve"> </w:t>
      </w:r>
      <w:hyperlink r:id="rId41">
        <w:r>
          <w:rPr>
            <w:rStyle w:val="Hyperlink"/>
          </w:rPr>
          <w:t xml:space="preserve">Recurrent preeclampsia in a pregnant woman with klippel-trenaunay syndrome: Two cesarean deliveries and multiple extremity involvement – case report and literature review</w:t>
        </w:r>
      </w:hyperlink>
      <w:r>
        <w:t xml:space="preserve">. BMC Pregnancy and Childbirth. 2025;25:407.</w:t>
      </w:r>
    </w:p>
    <w:bookmarkEnd w:id="42"/>
    <w:bookmarkStart w:id="44" w:name="ref-Neubert1995"/>
    <w:p>
      <w:pPr>
        <w:pStyle w:val="Bibliography"/>
      </w:pPr>
      <w:r>
        <w:t xml:space="preserve">4. Neubert GA, Golden MA, Rose NC.</w:t>
      </w:r>
      <w:r>
        <w:t xml:space="preserve"> </w:t>
      </w:r>
      <w:hyperlink r:id="rId43">
        <w:r>
          <w:rPr>
            <w:rStyle w:val="Hyperlink"/>
          </w:rPr>
          <w:t xml:space="preserve">Kasabach-merritt coagulopathy complicating klippel-trenaunay-weber syndrome in pregnancy</w:t>
        </w:r>
      </w:hyperlink>
      <w:r>
        <w:t xml:space="preserve">. Obstetrics &amp; Gynecology. 1995;85:831–3.</w:t>
      </w:r>
    </w:p>
    <w:bookmarkEnd w:id="44"/>
    <w:bookmarkStart w:id="46" w:name="ref-Kanmani2021"/>
    <w:p>
      <w:pPr>
        <w:pStyle w:val="Bibliography"/>
      </w:pPr>
      <w:r>
        <w:t xml:space="preserve">5. Kanmani K, Meena M, Narmadha D, A. GV.</w:t>
      </w:r>
      <w:r>
        <w:t xml:space="preserve"> </w:t>
      </w:r>
      <w:hyperlink r:id="rId45">
        <w:r>
          <w:rPr>
            <w:rStyle w:val="Hyperlink"/>
          </w:rPr>
          <w:t xml:space="preserve">Klippel trenaunay syndrome–an obstetric challenge</w:t>
        </w:r>
      </w:hyperlink>
      <w:r>
        <w:t xml:space="preserve">. International Journal of Reproduction, Contraception, Obstetrics and Gynecology. 2021;10:2081–4.</w:t>
      </w:r>
    </w:p>
    <w:bookmarkEnd w:id="46"/>
    <w:bookmarkStart w:id="48" w:name="ref-zhang2019"/>
    <w:p>
      <w:pPr>
        <w:pStyle w:val="Bibliography"/>
      </w:pPr>
      <w:r>
        <w:t xml:space="preserve">6. Zhang J, Wang K, Mei J. Late puerperal hemorrhage of a patient with Klippel</w:t>
      </w:r>
      <w:r>
        <w:t xml:space="preserve">Trenaunay syndrome. Medicine [Internet]. 2019;98:e18378. Available from:</w:t>
      </w:r>
      <w:r>
        <w:t xml:space="preserve"> </w:t>
      </w:r>
      <w:hyperlink r:id="rId47">
        <w:r>
          <w:rPr>
            <w:rStyle w:val="Hyperlink"/>
          </w:rPr>
          <w:t xml:space="preserve">http://dx.doi.org/10.1097/MD.0000000000018378</w:t>
        </w:r>
      </w:hyperlink>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dx.doi.org/10.1097/MD.0000000000018378" TargetMode="External" /><Relationship Type="http://schemas.openxmlformats.org/officeDocument/2006/relationships/hyperlink" Id="rId39" Target="https://doi.org/10.1002/ped4.70041" TargetMode="External" /><Relationship Type="http://schemas.openxmlformats.org/officeDocument/2006/relationships/hyperlink" Id="rId43" Target="https://doi.org/10.1016/0029-7844(94)00349-I" TargetMode="External" /><Relationship Type="http://schemas.openxmlformats.org/officeDocument/2006/relationships/hyperlink" Id="rId41" Target="https://doi.org/10.1186/s12884-025-07540-0" TargetMode="External" /><Relationship Type="http://schemas.openxmlformats.org/officeDocument/2006/relationships/hyperlink" Id="rId45" Target="https://doi.org/10.18203/2320-1770.ijrcog20211511" TargetMode="External" /><Relationship Type="http://schemas.openxmlformats.org/officeDocument/2006/relationships/hyperlink" Id="rId37" Target="https://doi.org/10.3390/children10081421" TargetMode="External" /><Relationship Type="http://schemas.openxmlformats.org/officeDocument/2006/relationships/hyperlink" Id="rId22" Target="https://orcid.org/0009-0002-5877-4722" TargetMode="External" /><Relationship Type="http://schemas.openxmlformats.org/officeDocument/2006/relationships/hyperlink" Id="rId21" Target="mailto:sara.elzeftawy@gu.edu.eg" TargetMode="External" /></Relationships>
</file>

<file path=word/_rels/footnotes.xml.rels><?xml version="1.0" encoding="UTF-8"?><Relationships xmlns="http://schemas.openxmlformats.org/package/2006/relationships"><Relationship Type="http://schemas.openxmlformats.org/officeDocument/2006/relationships/hyperlink" Id="rId47" Target="http://dx.doi.org/10.1097/MD.0000000000018378" TargetMode="External" /><Relationship Type="http://schemas.openxmlformats.org/officeDocument/2006/relationships/hyperlink" Id="rId39" Target="https://doi.org/10.1002/ped4.70041" TargetMode="External" /><Relationship Type="http://schemas.openxmlformats.org/officeDocument/2006/relationships/hyperlink" Id="rId43" Target="https://doi.org/10.1016/0029-7844(94)00349-I" TargetMode="External" /><Relationship Type="http://schemas.openxmlformats.org/officeDocument/2006/relationships/hyperlink" Id="rId41" Target="https://doi.org/10.1186/s12884-025-07540-0" TargetMode="External" /><Relationship Type="http://schemas.openxmlformats.org/officeDocument/2006/relationships/hyperlink" Id="rId45" Target="https://doi.org/10.18203/2320-1770.ijrcog20211511" TargetMode="External" /><Relationship Type="http://schemas.openxmlformats.org/officeDocument/2006/relationships/hyperlink" Id="rId37" Target="https://doi.org/10.3390/children10081421" TargetMode="External" /><Relationship Type="http://schemas.openxmlformats.org/officeDocument/2006/relationships/hyperlink" Id="rId22" Target="https://orcid.org/0009-0002-5877-4722" TargetMode="External" /><Relationship Type="http://schemas.openxmlformats.org/officeDocument/2006/relationships/hyperlink" Id="rId21" Target="mailto:sara.elzeftawy@g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Klippel-Trenaunay Syndrome complicated by Kasabach-Merritt syndrome during pregnancy</dc:title>
  <dc:creator/>
  <cp:keywords/>
  <dcterms:created xsi:type="dcterms:W3CDTF">2026-03-15T21:55:57Z</dcterms:created>
  <dcterms:modified xsi:type="dcterms:W3CDTF">2026-03-15T21:55:57Z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lear-hidden-classes">
    <vt:lpwstr>none</vt:lpwstr>
  </property>
  <property fmtid="{D5CDD505-2E9C-101B-9397-08002B2CF9AE}" pid="5" name="csl">
    <vt:lpwstr>vancouver.csl</vt:lpwstr>
  </property>
  <property fmtid="{D5CDD505-2E9C-101B-9397-08002B2CF9AE}" pid="6" name="editor">
    <vt:lpwstr>visual</vt:lpwstr>
  </property>
  <property fmtid="{D5CDD505-2E9C-101B-9397-08002B2CF9AE}" pid="7" name="google-scholar">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ghtbox">
    <vt:lpwstr>auto</vt:lpwstr>
  </property>
  <property fmtid="{D5CDD505-2E9C-101B-9397-08002B2CF9AE}" pid="13" name="manuscript">
    <vt:lpwstr/>
  </property>
  <property fmtid="{D5CDD505-2E9C-101B-9397-08002B2CF9AE}" pid="14" name="notebook-preview-options">
    <vt:lpwstr/>
  </property>
  <property fmtid="{D5CDD505-2E9C-101B-9397-08002B2CF9AE}" pid="15" name="quarto-internal">
    <vt:lpwstr/>
  </property>
  <property fmtid="{D5CDD505-2E9C-101B-9397-08002B2CF9AE}" pid="16" name="remove-hidden">
    <vt:lpwstr>all</vt:lpwstr>
  </property>
  <property fmtid="{D5CDD505-2E9C-101B-9397-08002B2CF9AE}" pid="17" name="subtitle">
    <vt:lpwstr>A case report and review of the literature</vt:lpwstr>
  </property>
  <property fmtid="{D5CDD505-2E9C-101B-9397-08002B2CF9AE}" pid="18" name="template-partials">
    <vt:lpwstr/>
  </property>
  <property fmtid="{D5CDD505-2E9C-101B-9397-08002B2CF9AE}" pid="19" name="theme">
    <vt:lpwstr>cosmo</vt:lpwstr>
  </property>
  <property fmtid="{D5CDD505-2E9C-101B-9397-08002B2CF9AE}" pid="20" name="title-block-style">
    <vt:lpwstr>manuscript</vt:lpwstr>
  </property>
  <property fmtid="{D5CDD505-2E9C-101B-9397-08002B2CF9AE}" pid="21" name="toc-title">
    <vt:lpwstr>Table of contents</vt:lpwstr>
  </property>
  <property fmtid="{D5CDD505-2E9C-101B-9397-08002B2CF9AE}" pid="22" name="unroll-markdown-cells">
    <vt:lpwstr>True</vt:lpwstr>
  </property>
</Properties>
</file>