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documented in the literature</w:t>
      </w:r>
      <w:r>
        <w:t xml:space="preserve"> </w:t>
      </w:r>
      <w:r>
        <w:t xml:space="preserve">[9–11]</w:t>
      </w:r>
      <w:r>
        <w:t xml:space="preserve">. We report a fourth case, describing the clinical course and successful multidisciplinary management of a pregnant woman with KTS complicated by fetal growth restriction and peripartum acute KMS. Through this case, we aim to illuminate the clinical challenges inherent to this rare complication, outline effective management strategies, and emphasize the critical role of early recognition and interdisciplinary collaboration in achieving favorable maternal and neonatal outcomes.</w:t>
      </w:r>
    </w:p>
    <w:bookmarkEnd w:id="14"/>
    <w:bookmarkStart w:id="17" w:name="case-presentation"/>
    <w:p>
      <w:pPr>
        <w:pStyle w:val="Heading1"/>
      </w:pPr>
      <w:r>
        <w:t xml:space="preserve">Case Presentation</w:t>
      </w:r>
    </w:p>
    <w:p>
      <w:pPr>
        <w:pStyle w:val="FirstParagraph"/>
      </w:pPr>
      <w:r>
        <w:t xml:space="preserve">A 28-year-old multigravida (P2+1, both prior deliveries by cesarean section, one living child) presented at 30+1 weeks’ gestation with clinically significant hematuria and was admitted on December 16th to Ain Shams University Hospital, Egypt. The clinical timeline is detailed in</w:t>
      </w:r>
      <w:r>
        <w:t xml:space="preserve"> </w:t>
      </w:r>
      <w:hyperlink w:anchor="tbl-1">
        <w:r>
          <w:rPr>
            <w:rStyle w:val="Hyperlink"/>
          </w:rPr>
          <w:t xml:space="preserve">Table 1</w:t>
        </w:r>
      </w:hyperlink>
      <w:r>
        <w:t xml:space="preserve">.</w:t>
      </w:r>
    </w:p>
    <w:p>
      <w:pPr>
        <w:pStyle w:val="BodyText"/>
      </w:pPr>
      <w:r>
        <w:t xml:space="preserve">Her past medical history is notable for Klippel–Trenaunay syndrome (KTS), diagnosed at two years of age. Physical examination on admission revelaed an extensive KTS phenotype, with disease involvement encompassing both lower limbs, the back, pelvis, urinary bladder, and breast tissue — a distribution reflecting the multisystem vascular dysplasia characteristic of KTS. She exhibited the hallmark triad of varicosities, limb hypertrophy, and hemangiomas, with port-wine stains additionally present over the gluteal region.</w:t>
      </w:r>
    </w:p>
    <w:p>
      <w:pPr>
        <w:pStyle w:val="BodyText"/>
      </w:pPr>
      <w:r>
        <w:t xml:space="preserve">Her surgical history included varicose vein surgery seven years prior and orthopedic fixation with plates and screws approximately 18 months before this admission.</w:t>
      </w:r>
    </w:p>
    <w:p>
      <w:pPr>
        <w:pStyle w:val="BodyText"/>
      </w:pPr>
      <w:r>
        <w:t xml:space="preserve">Her obstetric history was significant. Her first pregnancy, seven years prior, ended in neonatal death. Her second pregnancy was complicated by severe preeclampsia, postpartum wound hematoma, and sepsis necessitating ICU admission. She also had a history of spontaneous miscarriage not managed surgically. In the current pregnancy, she received two doses of antenatal corticosteroids on December 14th and 15th.</w:t>
      </w:r>
    </w:p>
    <w:p>
      <w:pPr>
        <w:pStyle w:val="BodyText"/>
      </w:pPr>
      <w:r>
        <w:t xml:space="preserve">On admission, vital signs were stable: blood pressure 120/80 mmHg, temperature 36.2°C, and heart rate 68 bpm. Physical examination revealed port-wine stains over the back and gluteal region, with discrepancy in lower limb length bilaterally.</w:t>
      </w:r>
    </w:p>
    <w:p>
      <w:pPr>
        <w:pStyle w:val="BodyText"/>
      </w:pPr>
      <w:r>
        <w:t xml:space="preserve">A complete blood count (CBC) demonstrated microcytic hypochromic anemia (hemoglobin 7.0 g/dL, hematocrit 23.0%) and thrombocytopenia (128,000/µL). She received six units of packed red blood cells (pRBCs) to correct her declining hemoglobin. Blood typing identified B-positive blood group, and viral serology was negative for hepatitis B, hepatitis C, and HIV.</w:t>
      </w:r>
    </w:p>
    <w:p>
      <w:pPr>
        <w:pStyle w:val="BodyText"/>
      </w:pPr>
      <w:r>
        <w:t xml:space="preserve">Obstetric ultrasonography revealed an estimated fetal weight below the 10th percentile, consistent with intrauterine growth restriction (IUGR), and absent end-diastolic flow on umbilical artery Doppler. 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bilateral breast subcutaneous tissue. The urinary bladder contained blood products. The liver was mildly enlarged with vascular compression, while the gallbladder, spleen, and kidneys were unremarkable. Minimal bilateral pleural effusion was also noted.</w:t>
      </w:r>
    </w:p>
    <w:p>
      <w:pPr>
        <w:pStyle w:val="BodyText"/>
      </w:pPr>
      <w:r>
        <w:t xml:space="preserve">On December 21st,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progressive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The newborn did not require respiratory support.</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hyperlink w:anchor="tbl-2">
        <w:r>
          <w:rPr>
            <w:rStyle w:val="Hyperlink"/>
          </w:rPr>
          <w:t xml:space="preserve">Table 2</w:t>
        </w:r>
      </w:hyperlink>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tbl>
      <w:tblPr>
        <w:tblStyle w:val="Table"/>
        <w:tblW w:type="pct" w:w="5000"/>
        <w:tblLayout w:type="fixed"/>
        <w:tblLook w:firstRow="0" w:lastRow="0" w:firstColumn="0" w:lastColumn="0" w:noHBand="0" w:noVBand="0" w:val="0000"/>
      </w:tblPr>
      <w:tblGrid>
        <w:gridCol w:w="7920"/>
      </w:tblGrid>
      <w:tr>
        <w:tc>
          <w:tcPr/>
          <w:bookmarkStart w:id="15"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LMWH resumed, tranexamic acid initiated</w:t>
                  </w:r>
                </w:p>
                <w:p>
                  <w:pPr>
                    <w:jc w:val="left"/>
                    <w:jc w:val="center"/>
                  </w:pPr>
                  <w:r>
                    <w:rPr>
                      <w:b/>
                      <w:bCs/>
                    </w:rPr>
                    <w:t xml:space="preserve">Day 4:</w:t>
                  </w:r>
                  <w:r>
                    <w:t xml:space="preserve"> </w:t>
                  </w:r>
                  <w:r>
                    <w:t xml:space="preserve">Hypofibrinogenemia (1.4 g/L), elevated D-dimer (35.2 µg/mL)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rPr>
                      <w:b/>
                      <w:bCs/>
                    </w:rPr>
                    <w:t xml:space="preserve">Day 10:</w:t>
                  </w:r>
                  <w:r>
                    <w:t xml:space="preserve"> </w:t>
                  </w:r>
                  <w:r>
                    <w:t xml:space="preserve">Discharged in stable condition</w:t>
                  </w:r>
                </w:p>
                <w:p>
                  <w:pPr>
                    <w:jc w:val="left"/>
                    <w:jc w:val="center"/>
                  </w:pPr>
                  <w:r>
                    <w:rPr>
                      <w:b/>
                      <w:bCs/>
                    </w:rPr>
                    <w:t xml:space="preserve">Day 19:</w:t>
                  </w:r>
                  <w:r>
                    <w:t xml:space="preserve"> </w:t>
                  </w:r>
                  <w:r>
                    <w:t xml:space="preserve">Outpatient follow-up: fair general condition; sutures removed</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2"/>
          <w:p>
            <w:pPr>
              <w:jc w:val="center"/>
            </w:pPr>
            <w:pPr>
              <w:jc w:val="left"/>
              <w:spacing w:before="200"/>
              <w:pStyle w:val="ImageCaption"/>
            </w:pPr>
            <w:r>
              <w:t xml:space="preserve">Table 2: Laboratory results throughout the clinical course</w:t>
            </w:r>
          </w:p>
          <w:tbl>
            <w:tblPr>
              <w:tblStyle w:val="Table"/>
              <w:tblW w:type="pct" w:w="4767"/>
              <w:tblLayout w:type="fixed"/>
              <w:tblLook w:firstRow="1" w:lastRow="0" w:firstColumn="0" w:lastColumn="0" w:noHBand="0" w:noVBand="0" w:val="0020"/>
            </w:tblPr>
            <w:tblGrid>
              <w:gridCol w:w="1372"/>
              <w:gridCol w:w="1742"/>
              <w:gridCol w:w="739"/>
              <w:gridCol w:w="739"/>
              <w:gridCol w:w="528"/>
              <w:gridCol w:w="528"/>
              <w:gridCol w:w="475"/>
              <w:gridCol w:w="475"/>
              <w:gridCol w:w="950"/>
            </w:tblGrid>
            <w:tr>
              <w:trPr>
                <w:tblHeader w:val="on"/>
              </w:trPr>
              <w:tc>
                <w:tcPr/>
                <w:p>
                  <w:pPr>
                    <w:pStyle w:val="Compact"/>
                    <w:jc w:val="left"/>
                    <w:jc w:val="center"/>
                  </w:pPr>
                  <w:r>
                    <w:t xml:space="preserve">Parameters/Timing</w:t>
                  </w:r>
                </w:p>
              </w:tc>
              <w:tc>
                <w:tcPr/>
                <w:p>
                  <w:pPr>
                    <w:pStyle w:val="Compact"/>
                    <w:jc w:val="left"/>
                    <w:jc w:val="center"/>
                  </w:pPr>
                  <w:r>
                    <w:t xml:space="preserve">December 16 (Day of admission)</w:t>
                  </w:r>
                </w:p>
              </w:tc>
              <w:tc>
                <w:tcPr/>
                <w:p>
                  <w:pPr>
                    <w:pStyle w:val="Compact"/>
                    <w:jc w:val="left"/>
                    <w:jc w:val="center"/>
                  </w:pPr>
                  <w:r>
                    <w:t xml:space="preserve">December 22</w:t>
                  </w:r>
                </w:p>
              </w:tc>
              <w:tc>
                <w:tcPr/>
                <w:p>
                  <w:pPr>
                    <w:pStyle w:val="Compact"/>
                    <w:jc w:val="left"/>
                    <w:jc w:val="center"/>
                  </w:pPr>
                  <w:r>
                    <w:t xml:space="preserve">December 28</w:t>
                  </w:r>
                </w:p>
              </w:tc>
              <w:tc>
                <w:tcPr/>
                <w:p>
                  <w:pPr>
                    <w:pStyle w:val="Compact"/>
                    <w:jc w:val="left"/>
                    <w:jc w:val="center"/>
                  </w:pPr>
                  <w:r>
                    <w:t xml:space="preserve">POD 1</w:t>
                  </w:r>
                </w:p>
              </w:tc>
              <w:tc>
                <w:tcPr/>
                <w:p>
                  <w:pPr>
                    <w:pStyle w:val="Compact"/>
                    <w:jc w:val="left"/>
                    <w:jc w:val="center"/>
                  </w:pPr>
                  <w:r>
                    <w:t xml:space="preserve">POD 2</w:t>
                  </w:r>
                </w:p>
              </w:tc>
              <w:tc>
                <w:tcPr/>
                <w:p>
                  <w:pPr>
                    <w:pStyle w:val="Compact"/>
                    <w:jc w:val="left"/>
                    <w:jc w:val="center"/>
                  </w:pPr>
                  <w:r>
                    <w:t xml:space="preserve">POD 4</w:t>
                  </w:r>
                </w:p>
              </w:tc>
              <w:tc>
                <w:tcPr/>
                <w:p>
                  <w:pPr>
                    <w:pStyle w:val="Compact"/>
                    <w:jc w:val="left"/>
                    <w:jc w:val="center"/>
                  </w:pPr>
                  <w:r>
                    <w:t xml:space="preserve">POD 6</w:t>
                  </w:r>
                </w:p>
              </w:tc>
              <w:tc>
                <w:tcPr/>
                <w:p>
                  <w:pPr>
                    <w:pStyle w:val="Compact"/>
                    <w:jc w:val="left"/>
                    <w:jc w:val="center"/>
                  </w:pPr>
                  <w:r>
                    <w:t xml:space="preserve">Reference range</w:t>
                  </w:r>
                </w:p>
              </w:tc>
            </w:tr>
            <w:tr>
              <w:tc>
                <w:tcPr/>
                <w:p>
                  <w:pPr>
                    <w:pStyle w:val="Compact"/>
                    <w:jc w:val="left"/>
                    <w:jc w:val="center"/>
                  </w:pPr>
                  <w:r>
                    <w:t xml:space="preserve">Hb (g/dL)</w:t>
                  </w:r>
                </w:p>
              </w:tc>
              <w:tc>
                <w:tcPr/>
                <w:p>
                  <w:pPr>
                    <w:pStyle w:val="Compact"/>
                    <w:jc w:val="left"/>
                    <w:jc w:val="center"/>
                  </w:pPr>
                  <w:r>
                    <w:t xml:space="preserve">7.0</w:t>
                  </w:r>
                </w:p>
              </w:tc>
              <w:tc>
                <w:tcPr/>
                <w:p>
                  <w:pPr>
                    <w:pStyle w:val="Compact"/>
                    <w:jc w:val="left"/>
                    <w:jc w:val="center"/>
                  </w:pPr>
                  <w:r>
                    <w:t xml:space="preserve">7.6</w:t>
                  </w:r>
                </w:p>
              </w:tc>
              <w:tc>
                <w:tcPr/>
                <w:p>
                  <w:pPr>
                    <w:pStyle w:val="Compact"/>
                    <w:jc w:val="left"/>
                    <w:jc w:val="center"/>
                  </w:pPr>
                  <w:r>
                    <w:t xml:space="preserve">10.2</w:t>
                  </w:r>
                </w:p>
              </w:tc>
              <w:tc>
                <w:tcPr/>
                <w:p>
                  <w:pPr>
                    <w:pStyle w:val="Compact"/>
                    <w:jc w:val="left"/>
                    <w:jc w:val="center"/>
                  </w:pPr>
                  <w:r>
                    <w:t xml:space="preserve">9.6</w:t>
                  </w:r>
                </w:p>
              </w:tc>
              <w:tc>
                <w:tcPr/>
                <w:p>
                  <w:pPr>
                    <w:pStyle w:val="Compact"/>
                    <w:jc w:val="left"/>
                    <w:jc w:val="center"/>
                  </w:pPr>
                  <w:r>
                    <w:t xml:space="preserve">7.6</w:t>
                  </w:r>
                </w:p>
              </w:tc>
              <w:tc>
                <w:tcPr/>
                <w:p>
                  <w:pPr>
                    <w:pStyle w:val="Compact"/>
                    <w:jc w:val="left"/>
                    <w:jc w:val="center"/>
                  </w:pPr>
                  <w:r>
                    <w:t xml:space="preserve">8.6</w:t>
                  </w:r>
                </w:p>
              </w:tc>
              <w:tc>
                <w:tcPr/>
                <w:p>
                  <w:pPr>
                    <w:pStyle w:val="Compact"/>
                    <w:jc w:val="left"/>
                    <w:jc w:val="center"/>
                  </w:pPr>
                  <w:r>
                    <w:t xml:space="preserve">10.0</w:t>
                  </w:r>
                </w:p>
              </w:tc>
              <w:tc>
                <w:tcPr/>
                <w:p>
                  <w:pPr>
                    <w:pStyle w:val="Compact"/>
                    <w:jc w:val="left"/>
                    <w:jc w:val="center"/>
                  </w:pPr>
                  <w:r>
                    <w:t xml:space="preserve">12.0-15.0</w:t>
                  </w:r>
                </w:p>
              </w:tc>
            </w:tr>
            <w:tr>
              <w:tc>
                <w:tcPr/>
                <w:p>
                  <w:pPr>
                    <w:pStyle w:val="Compact"/>
                    <w:jc w:val="left"/>
                    <w:jc w:val="center"/>
                  </w:pPr>
                  <w:r>
                    <w:t xml:space="preserve">HCT (%)</w:t>
                  </w:r>
                </w:p>
              </w:tc>
              <w:tc>
                <w:tcPr/>
                <w:p>
                  <w:pPr>
                    <w:pStyle w:val="Compact"/>
                    <w:jc w:val="left"/>
                    <w:jc w:val="center"/>
                  </w:pPr>
                  <w:r>
                    <w:t xml:space="preserve">23.0</w:t>
                  </w:r>
                </w:p>
              </w:tc>
              <w:tc>
                <w:tcPr/>
                <w:p>
                  <w:pPr>
                    <w:pStyle w:val="Compact"/>
                    <w:jc w:val="left"/>
                    <w:jc w:val="center"/>
                  </w:pPr>
                  <w:r>
                    <w:t xml:space="preserve">23.5</w:t>
                  </w:r>
                </w:p>
              </w:tc>
              <w:tc>
                <w:tcPr/>
                <w:p>
                  <w:pPr>
                    <w:pStyle w:val="Compact"/>
                    <w:jc w:val="left"/>
                    <w:jc w:val="center"/>
                  </w:pPr>
                  <w:r>
                    <w:t xml:space="preserve">33.1</w:t>
                  </w:r>
                </w:p>
              </w:tc>
              <w:tc>
                <w:tcPr/>
                <w:p>
                  <w:pPr>
                    <w:pStyle w:val="Compact"/>
                    <w:jc w:val="left"/>
                    <w:jc w:val="center"/>
                  </w:pPr>
                  <w:r>
                    <w:t xml:space="preserve">20.0</w:t>
                  </w:r>
                </w:p>
              </w:tc>
              <w:tc>
                <w:tcPr/>
                <w:p>
                  <w:pPr>
                    <w:pStyle w:val="Compact"/>
                    <w:jc w:val="left"/>
                    <w:jc w:val="center"/>
                  </w:pPr>
                  <w:r>
                    <w:t xml:space="preserve">21.8</w:t>
                  </w:r>
                </w:p>
              </w:tc>
              <w:tc>
                <w:tcPr/>
                <w:p>
                  <w:pPr>
                    <w:pStyle w:val="Compact"/>
                    <w:jc w:val="left"/>
                    <w:jc w:val="center"/>
                  </w:pPr>
                  <w:r>
                    <w:t xml:space="preserve">26.8</w:t>
                  </w:r>
                </w:p>
              </w:tc>
              <w:tc>
                <w:tcPr/>
                <w:p>
                  <w:pPr>
                    <w:pStyle w:val="Compact"/>
                    <w:jc w:val="left"/>
                    <w:jc w:val="center"/>
                  </w:pPr>
                  <w:r>
                    <w:t xml:space="preserve">30.8</w:t>
                  </w:r>
                </w:p>
              </w:tc>
              <w:tc>
                <w:tcPr/>
                <w:p>
                  <w:pPr>
                    <w:pStyle w:val="Compact"/>
                    <w:jc w:val="left"/>
                    <w:jc w:val="center"/>
                  </w:pPr>
                  <w:r>
                    <w:t xml:space="preserve">36-46</w:t>
                  </w:r>
                </w:p>
              </w:tc>
            </w:tr>
            <w:tr>
              <w:tc>
                <w:tcPr/>
                <w:p>
                  <w:pPr>
                    <w:pStyle w:val="Compact"/>
                    <w:jc w:val="left"/>
                    <w:jc w:val="center"/>
                  </w:pPr>
                  <w:r>
                    <w:t xml:space="preserve">Platelets (/µL)</w:t>
                  </w:r>
                </w:p>
              </w:tc>
              <w:tc>
                <w:tcPr/>
                <w:p>
                  <w:pPr>
                    <w:pStyle w:val="Compact"/>
                    <w:jc w:val="left"/>
                    <w:jc w:val="center"/>
                  </w:pPr>
                  <w:r>
                    <w:t xml:space="preserve">128,000</w:t>
                  </w:r>
                </w:p>
              </w:tc>
              <w:tc>
                <w:tcPr/>
                <w:p>
                  <w:pPr>
                    <w:pStyle w:val="Compact"/>
                    <w:jc w:val="left"/>
                    <w:jc w:val="center"/>
                  </w:pPr>
                  <w:r>
                    <w:t xml:space="preserve">97,000</w:t>
                  </w:r>
                </w:p>
              </w:tc>
              <w:tc>
                <w:tcPr/>
                <w:p>
                  <w:pPr>
                    <w:pStyle w:val="Compact"/>
                    <w:jc w:val="left"/>
                    <w:jc w:val="center"/>
                  </w:pPr>
                  <w:r>
                    <w:t xml:space="preserve">129,000</w:t>
                  </w:r>
                </w:p>
              </w:tc>
              <w:tc>
                <w:tcPr/>
                <w:p>
                  <w:pPr>
                    <w:pStyle w:val="Compact"/>
                    <w:jc w:val="left"/>
                    <w:jc w:val="center"/>
                  </w:pPr>
                  <w:r>
                    <w:t xml:space="preserve">218,000</w:t>
                  </w:r>
                </w:p>
              </w:tc>
              <w:tc>
                <w:tcPr/>
                <w:p>
                  <w:pPr>
                    <w:pStyle w:val="Compact"/>
                    <w:jc w:val="left"/>
                    <w:jc w:val="center"/>
                  </w:pPr>
                  <w:r>
                    <w:t xml:space="preserve">104,000</w:t>
                  </w:r>
                </w:p>
              </w:tc>
              <w:tc>
                <w:tcPr/>
                <w:p>
                  <w:pPr>
                    <w:pStyle w:val="Compact"/>
                    <w:jc w:val="left"/>
                    <w:jc w:val="center"/>
                  </w:pPr>
                  <w:r>
                    <w:t xml:space="preserve">75,000</w:t>
                  </w:r>
                </w:p>
              </w:tc>
              <w:tc>
                <w:tcPr/>
                <w:p>
                  <w:pPr>
                    <w:pStyle w:val="Compact"/>
                    <w:jc w:val="left"/>
                    <w:jc w:val="center"/>
                  </w:pPr>
                  <w:r>
                    <w:t xml:space="preserve">64,000</w:t>
                  </w:r>
                </w:p>
              </w:tc>
              <w:tc>
                <w:tcPr/>
                <w:p>
                  <w:pPr>
                    <w:pStyle w:val="Compact"/>
                    <w:jc w:val="left"/>
                    <w:jc w:val="center"/>
                  </w:pPr>
                  <w:r>
                    <w:t xml:space="preserve">150,000–410,000</w:t>
                  </w:r>
                </w:p>
              </w:tc>
            </w:tr>
            <w:tr>
              <w:tc>
                <w:tcPr/>
                <w:p>
                  <w:pPr>
                    <w:pStyle w:val="Compact"/>
                    <w:jc w:val="left"/>
                    <w:jc w:val="center"/>
                  </w:pPr>
                  <w:r>
                    <w:t xml:space="preserve">PT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12.4</w:t>
                  </w:r>
                </w:p>
              </w:tc>
              <w:tc>
                <w:tcPr/>
                <w:p>
                  <w:pPr>
                    <w:pStyle w:val="Compact"/>
                    <w:jc w:val="left"/>
                    <w:jc w:val="center"/>
                  </w:pPr>
                  <w:r>
                    <w:t xml:space="preserve">40.70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17.7</w:t>
                  </w:r>
                </w:p>
              </w:tc>
              <w:tc>
                <w:tcPr/>
                <w:p>
                  <w:pPr>
                    <w:pStyle w:val="Compact"/>
                    <w:jc w:val="left"/>
                    <w:jc w:val="center"/>
                  </w:pPr>
                  <w:r>
                    <w:t xml:space="preserve">11.7–15.3</w:t>
                  </w:r>
                </w:p>
              </w:tc>
            </w:tr>
            <w:tr>
              <w:tc>
                <w:tcPr/>
                <w:p>
                  <w:pPr>
                    <w:pStyle w:val="Compact"/>
                    <w:jc w:val="left"/>
                    <w:jc w:val="center"/>
                  </w:pPr>
                  <w:r>
                    <w:t xml:space="preserve">Total bilirubin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2.8</w:t>
                  </w:r>
                </w:p>
              </w:tc>
              <w:tc>
                <w:tcPr/>
                <w:p>
                  <w:pPr>
                    <w:pStyle w:val="Compact"/>
                    <w:jc w:val="left"/>
                    <w:jc w:val="center"/>
                  </w:pPr>
                  <w:r>
                    <w:t xml:space="preserve">1.8</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1.8-3.5</w:t>
                  </w:r>
                </w:p>
              </w:tc>
            </w:tr>
            <w:tr>
              <w:tc>
                <w:tcPr/>
                <w:p>
                  <w:pPr>
                    <w:pStyle w:val="Compact"/>
                    <w:jc w:val="left"/>
                    <w:jc w:val="center"/>
                  </w:pPr>
                  <w:r>
                    <w:t xml:space="preserve">ALP (IU/L)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135</w:t>
                  </w:r>
                </w:p>
              </w:tc>
              <w:tc>
                <w:tcPr/>
                <w:p>
                  <w:pPr>
                    <w:pStyle w:val="Compact"/>
                    <w:jc w:val="left"/>
                    <w:jc w:val="center"/>
                  </w:pPr>
                  <w:r>
                    <w:t xml:space="preserve">115</w:t>
                  </w:r>
                </w:p>
              </w:tc>
              <w:tc>
                <w:tcPr/>
                <w:p>
                  <w:pPr>
                    <w:pStyle w:val="Compact"/>
                    <w:jc w:val="left"/>
                    <w:jc w:val="center"/>
                  </w:pPr>
                  <w:r>
                    <w:t xml:space="preserve">-</w:t>
                  </w:r>
                </w:p>
              </w:tc>
              <w:tc>
                <w:tcPr/>
                <w:p>
                  <w:pPr>
                    <w:pStyle w:val="Compact"/>
                    <w:jc w:val="left"/>
                    <w:jc w:val="center"/>
                  </w:pPr>
                  <w:r>
                    <w:t xml:space="preserve">108</w:t>
                  </w:r>
                </w:p>
              </w:tc>
              <w:tc>
                <w:tcPr/>
                <w:p>
                  <w:pPr>
                    <w:pStyle w:val="Compact"/>
                    <w:jc w:val="left"/>
                    <w:jc w:val="center"/>
                  </w:pPr>
                  <w:r>
                    <w:t xml:space="preserve">34–104</w:t>
                  </w:r>
                </w:p>
              </w:tc>
            </w:tr>
            <w:tr>
              <w:tc>
                <w:tcPr/>
                <w:p>
                  <w:pPr>
                    <w:pStyle w:val="Compact"/>
                    <w:jc w:val="left"/>
                    <w:jc w:val="center"/>
                  </w:pPr>
                  <w:r>
                    <w:t xml:space="preserve">LDH (IU/L)</w:t>
                  </w:r>
                </w:p>
              </w:tc>
              <w:tc>
                <w:tcPr/>
                <w:p>
                  <w:pPr>
                    <w:pStyle w:val="Compact"/>
                    <w:jc w:val="left"/>
                    <w:jc w:val="center"/>
                  </w:pPr>
                  <w:r>
                    <w:t xml:space="preserve">-</w:t>
                  </w:r>
                </w:p>
              </w:tc>
              <w:tc>
                <w:tcPr/>
                <w:p>
                  <w:pPr>
                    <w:pStyle w:val="Compact"/>
                    <w:jc w:val="left"/>
                    <w:jc w:val="center"/>
                  </w:pPr>
                  <w:r>
                    <w:t xml:space="preserve">454</w:t>
                  </w:r>
                </w:p>
              </w:tc>
              <w:tc>
                <w:tcPr/>
                <w:p>
                  <w:pPr>
                    <w:pStyle w:val="Compact"/>
                    <w:jc w:val="left"/>
                    <w:jc w:val="center"/>
                  </w:pPr>
                  <w:r>
                    <w:t xml:space="preserve">-</w:t>
                  </w:r>
                </w:p>
              </w:tc>
              <w:tc>
                <w:tcPr/>
                <w:p>
                  <w:pPr>
                    <w:pStyle w:val="Compact"/>
                    <w:jc w:val="left"/>
                    <w:jc w:val="center"/>
                  </w:pPr>
                  <w:r>
                    <w:t xml:space="preserve">424</w:t>
                  </w:r>
                </w:p>
              </w:tc>
              <w:tc>
                <w:tcPr/>
                <w:p>
                  <w:pPr>
                    <w:pStyle w:val="Compact"/>
                    <w:jc w:val="left"/>
                    <w:jc w:val="center"/>
                  </w:pPr>
                  <w:r>
                    <w:t xml:space="preserve">357</w:t>
                  </w:r>
                </w:p>
              </w:tc>
              <w:tc>
                <w:tcPr/>
                <w:p>
                  <w:pPr>
                    <w:pStyle w:val="Compact"/>
                    <w:jc w:val="left"/>
                    <w:jc w:val="center"/>
                  </w:pPr>
                  <w:r>
                    <w:t xml:space="preserve">-</w:t>
                  </w:r>
                </w:p>
              </w:tc>
              <w:tc>
                <w:tcPr/>
                <w:p>
                  <w:pPr>
                    <w:pStyle w:val="Compact"/>
                    <w:jc w:val="left"/>
                    <w:jc w:val="center"/>
                  </w:pPr>
                  <w:r>
                    <w:t xml:space="preserve">449</w:t>
                  </w:r>
                </w:p>
              </w:tc>
              <w:tc>
                <w:tcPr/>
                <w:p>
                  <w:pPr>
                    <w:pStyle w:val="Compact"/>
                    <w:jc w:val="left"/>
                    <w:jc w:val="center"/>
                  </w:pPr>
                  <w:r>
                    <w:t xml:space="preserve">140–271</w:t>
                  </w:r>
                </w:p>
              </w:tc>
            </w:tr>
          </w:tbl>
          <w:bookmarkEnd w:id="16"/>
          <w:p/>
        </w:tc>
      </w:tr>
    </w:tbl>
    <w:p>
      <w:pPr>
        <w:pStyle w:val="BodyText"/>
      </w:pPr>
      <w:r>
        <w:t xml:space="preserve">POD: Post operative day, Hb: Hemoglobin, HTC: Hematocrit, PT: Prothrombin time, ALP: Alkaline phosphatase, LDH : Lactate dehydrogenase.</w:t>
      </w:r>
    </w:p>
    <w:bookmarkEnd w:id="17"/>
    <w:bookmarkStart w:id="19"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8" w:name="tbl-3"/>
          <w:p>
            <w:pPr>
              <w:jc w:val="center"/>
            </w:pPr>
            <w:pPr>
              <w:jc w:val="left"/>
              <w:spacing w:before="200"/>
              <w:pStyle w:val="ImageCaption"/>
            </w:pPr>
            <w:r>
              <w:t xml:space="preserve">Table 3: Literature review</w:t>
            </w:r>
          </w:p>
          <w:tbl>
            <w:tblPr>
              <w:tblStyle w:val="Table"/>
              <w:tblW w:type="pct" w:w="4957"/>
              <w:tblLayout w:type="fixed"/>
              <w:tblLook w:firstRow="1" w:lastRow="0" w:firstColumn="0" w:lastColumn="0" w:noHBand="0" w:noVBand="0" w:val="0020"/>
            </w:tblPr>
            <w:tblGrid>
              <w:gridCol w:w="572"/>
              <w:gridCol w:w="842"/>
              <w:gridCol w:w="2409"/>
              <w:gridCol w:w="1836"/>
              <w:gridCol w:w="1567"/>
              <w:gridCol w:w="623"/>
            </w:tblGrid>
            <w:tr>
              <w:trPr>
                <w:tblHeader w:val="on"/>
              </w:trPr>
              <w:tc>
                <w:tcPr/>
                <w:p>
                  <w:pPr>
                    <w:pStyle w:val="Compact"/>
                    <w:jc w:val="left"/>
                    <w:jc w:val="center"/>
                  </w:pPr>
                  <w:r>
                    <w:rPr>
                      <w:b/>
                      <w:bCs/>
                    </w:rPr>
                    <w:t xml:space="preserve">Author (Year)</w:t>
                  </w:r>
                </w:p>
              </w:tc>
              <w:tc>
                <w:tcPr/>
                <w:p>
                  <w:pPr>
                    <w:pStyle w:val="Compact"/>
                    <w:jc w:val="left"/>
                    <w:jc w:val="center"/>
                  </w:pPr>
                  <w:r>
                    <w:t xml:space="preserve">Pregnancy</w:t>
                  </w:r>
                </w:p>
              </w:tc>
              <w:tc>
                <w:tcPr/>
                <w:p>
                  <w:pPr>
                    <w:pStyle w:val="Compact"/>
                    <w:jc w:val="left"/>
                    <w:jc w:val="center"/>
                  </w:pPr>
                  <w:r>
                    <w:rPr>
                      <w:b/>
                      <w:bCs/>
                    </w:rPr>
                    <w:t xml:space="preserve">Key findings</w:t>
                  </w:r>
                </w:p>
              </w:tc>
              <w:tc>
                <w:tcPr/>
                <w:p>
                  <w:pPr>
                    <w:pStyle w:val="Compact"/>
                    <w:jc w:val="left"/>
                    <w:jc w:val="center"/>
                  </w:pPr>
                  <w:r>
                    <w:rPr>
                      <w:b/>
                      <w:bCs/>
                    </w:rPr>
                    <w:t xml:space="preserve">KMS</w:t>
                  </w:r>
                </w:p>
              </w:tc>
              <w:tc>
                <w:tcPr/>
                <w:p>
                  <w:pPr>
                    <w:pStyle w:val="Compact"/>
                    <w:jc w:val="left"/>
                    <w:jc w:val="center"/>
                  </w:pPr>
                  <w:r>
                    <w:rPr>
                      <w:b/>
                      <w:bCs/>
                    </w:rPr>
                    <w:t xml:space="preserve">Management</w:t>
                  </w:r>
                </w:p>
              </w:tc>
              <w:tc>
                <w:tcPr/>
                <w:p>
                  <w:pPr>
                    <w:pStyle w:val="Compact"/>
                    <w:jc w:val="left"/>
                    <w:jc w:val="center"/>
                  </w:pPr>
                  <w:r>
                    <w:rPr>
                      <w:b/>
                      <w:bCs/>
                    </w:rPr>
                    <w:t xml:space="preserve">Outcome</w:t>
                  </w:r>
                </w:p>
              </w:tc>
            </w:tr>
            <w:tr>
              <w:tc>
                <w:tcPr/>
                <w:p>
                  <w:pPr>
                    <w:pStyle w:val="Compact"/>
                    <w:jc w:val="left"/>
                    <w:jc w:val="center"/>
                  </w:pPr>
                  <w:r>
                    <w:rPr>
                      <w:b/>
                      <w:bCs/>
                    </w:rPr>
                    <w:t xml:space="preserve">Neubert (1995)</w:t>
                  </w:r>
                  <w:r>
                    <w:t xml:space="preserve"> </w:t>
                  </w:r>
                  <w:r>
                    <w:t xml:space="preserve">[9]</w:t>
                  </w:r>
                </w:p>
              </w:tc>
              <w:tc>
                <w:tcPr/>
                <w:p>
                  <w:pPr>
                    <w:pStyle w:val="Compact"/>
                    <w:jc w:val="left"/>
                    <w:jc w:val="center"/>
                  </w:pPr>
                  <w:r>
                    <w:t xml:space="preserve">22 years-old primigravida, 37 weeks’ gestation</w:t>
                  </w:r>
                </w:p>
              </w:tc>
              <w:tc>
                <w:tcPr/>
                <w:p>
                  <w:pPr>
                    <w:pStyle w:val="Compact"/>
                    <w:jc w:val="left"/>
                    <w:jc w:val="center"/>
                  </w:pPr>
                  <w:r>
                    <w:t xml:space="preserve">known KTS, hemangiomas, limb hypertrophy, massive vulvovaginal varicosities</w:t>
                  </w:r>
                </w:p>
              </w:tc>
              <w:tc>
                <w:tcPr/>
                <w:p>
                  <w:pPr>
                    <w:pStyle w:val="Compact"/>
                    <w:jc w:val="left"/>
                    <w:jc w:val="center"/>
                  </w:pPr>
                  <w:r>
                    <w:t xml:space="preserve">Post-op KMS: thrombocytopenia, decreased fibrinogen, prolonged PT/PTT, increased fibrin split products</w:t>
                  </w:r>
                </w:p>
              </w:tc>
              <w:tc>
                <w:tcPr/>
                <w:p>
                  <w:pPr>
                    <w:pStyle w:val="Compact"/>
                    <w:jc w:val="left"/>
                    <w:jc w:val="center"/>
                  </w:pPr>
                  <w:r>
                    <w:t xml:space="preserve">CS at 39 wks; hematoma evacuation; ICU; transfusion; heparin + aminocaproic acid</w:t>
                  </w:r>
                </w:p>
              </w:tc>
              <w:tc>
                <w:tcPr/>
                <w:p>
                  <w:pPr>
                    <w:pStyle w:val="Compact"/>
                    <w:jc w:val="left"/>
                    <w:jc w:val="center"/>
                  </w:pPr>
                  <w:r>
                    <w:t xml:space="preserve">Discharged day 20; healthy neonate</w:t>
                  </w:r>
                </w:p>
              </w:tc>
            </w:tr>
            <w:tr>
              <w:tc>
                <w:tcPr/>
                <w:p>
                  <w:pPr>
                    <w:pStyle w:val="Compact"/>
                    <w:jc w:val="left"/>
                    <w:jc w:val="center"/>
                  </w:pPr>
                  <w:r>
                    <w:rPr>
                      <w:b/>
                      <w:bCs/>
                    </w:rPr>
                    <w:t xml:space="preserve">Kanmani (2021)</w:t>
                  </w:r>
                  <w:r>
                    <w:t xml:space="preserve"> </w:t>
                  </w:r>
                  <w:r>
                    <w:t xml:space="preserve">[10]</w:t>
                  </w:r>
                </w:p>
              </w:tc>
              <w:tc>
                <w:tcPr/>
                <w:p>
                  <w:pPr>
                    <w:pStyle w:val="Compact"/>
                    <w:jc w:val="left"/>
                    <w:jc w:val="center"/>
                  </w:pPr>
                  <w:r>
                    <w:t xml:space="preserve">24 years-old, primigravida, 29 weeks’ gestation</w:t>
                  </w:r>
                </w:p>
              </w:tc>
              <w:tc>
                <w:tcPr/>
                <w:p>
                  <w:pPr>
                    <w:pStyle w:val="Compact"/>
                    <w:jc w:val="left"/>
                    <w:jc w:val="center"/>
                  </w:pPr>
                  <w:r>
                    <w:t xml:space="preserve">known KTS, bleeding gums, Limb hypertrophy, varicosities (vulvar, lower limb)</w:t>
                  </w:r>
                </w:p>
              </w:tc>
              <w:tc>
                <w:tcPr/>
                <w:p>
                  <w:pPr>
                    <w:pStyle w:val="Compact"/>
                    <w:jc w:val="left"/>
                    <w:jc w:val="center"/>
                  </w:pPr>
                  <w:r>
                    <w:t xml:space="preserve">Antenatal KMS: severe thrombocytopenia (limited laboratory investigation reported)</w:t>
                  </w:r>
                </w:p>
              </w:tc>
              <w:tc>
                <w:tcPr/>
                <w:p>
                  <w:pPr>
                    <w:pStyle w:val="Compact"/>
                    <w:jc w:val="left"/>
                    <w:jc w:val="center"/>
                  </w:pPr>
                  <w:r>
                    <w:t xml:space="preserve">Steroids + platelet transfusion; CS at 35 wks; post-op anticoagulation and corticosteroids</w:t>
                  </w:r>
                </w:p>
              </w:tc>
              <w:tc>
                <w:tcPr/>
                <w:p>
                  <w:pPr>
                    <w:pStyle w:val="Compact"/>
                    <w:jc w:val="left"/>
                    <w:jc w:val="center"/>
                  </w:pPr>
                  <w:r>
                    <w:t xml:space="preserve">Discharged day 20; healthy neonate</w:t>
                  </w:r>
                </w:p>
              </w:tc>
            </w:tr>
            <w:tr>
              <w:tc>
                <w:tcPr/>
                <w:p>
                  <w:pPr>
                    <w:pStyle w:val="Compact"/>
                    <w:jc w:val="left"/>
                    <w:jc w:val="center"/>
                  </w:pPr>
                  <w:r>
                    <w:rPr>
                      <w:b/>
                      <w:bCs/>
                    </w:rPr>
                    <w:t xml:space="preserve">Zhang (2019)</w:t>
                  </w:r>
                  <w:r>
                    <w:t xml:space="preserve"> </w:t>
                  </w:r>
                  <w:r>
                    <w:t xml:space="preserve">[11]</w:t>
                  </w:r>
                </w:p>
              </w:tc>
              <w:tc>
                <w:tcPr/>
                <w:p>
                  <w:pPr>
                    <w:jc w:val="left"/>
                    <w:jc w:val="center"/>
                  </w:pPr>
                  <w:r>
                    <w:t xml:space="preserve">26 years old.</w:t>
                  </w:r>
                </w:p>
                <w:p>
                  <w:pPr>
                    <w:jc w:val="left"/>
                    <w:jc w:val="center"/>
                  </w:pPr>
                  <w:r>
                    <w:t xml:space="preserve">Postpartum.</w:t>
                  </w:r>
                </w:p>
              </w:tc>
              <w:tc>
                <w:tcPr/>
                <w:p>
                  <w:pPr>
                    <w:jc w:val="left"/>
                    <w:jc w:val="center"/>
                  </w:pPr>
                  <w:r>
                    <w:t xml:space="preserve">KTS diagnosed in the third trimester of pregnancy.</w:t>
                  </w:r>
                </w:p>
                <w:p>
                  <w:pPr>
                    <w:jc w:val="left"/>
                    <w:jc w:val="center"/>
                  </w:pPr>
                  <w:r>
                    <w:t xml:space="preserve">Admitted on day 10 postpartum with severe postpartum hemorrahge, hemodynamic instability, ecchymoses, massive limb hypertrophy, varicosities</w:t>
                  </w:r>
                </w:p>
              </w:tc>
              <w:tc>
                <w:tcPr/>
                <w:p>
                  <w:pPr>
                    <w:pStyle w:val="Compact"/>
                    <w:jc w:val="left"/>
                    <w:jc w:val="center"/>
                  </w:pPr>
                  <w:r>
                    <w:t xml:space="preserve">Post-op KMS: thrombocytopenia, ↓ fibrinogen, ↑ PT/APTT, increased fibrin split products, increased D-dimer</w:t>
                  </w:r>
                </w:p>
              </w:tc>
              <w:tc>
                <w:tcPr/>
                <w:p>
                  <w:pPr>
                    <w:pStyle w:val="Compact"/>
                    <w:jc w:val="left"/>
                    <w:jc w:val="center"/>
                  </w:pPr>
                  <w:r>
                    <w:t xml:space="preserve">CS at 39 wks; hysterectomy; embolization; laparotomy; anticoagulation</w:t>
                  </w:r>
                </w:p>
              </w:tc>
              <w:tc>
                <w:tcPr/>
                <w:p>
                  <w:pPr>
                    <w:pStyle w:val="Compact"/>
                    <w:jc w:val="left"/>
                    <w:jc w:val="center"/>
                  </w:pPr>
                  <w:r>
                    <w:t xml:space="preserve">Discharged day 42; healthy neonate</w:t>
                  </w:r>
                </w:p>
              </w:tc>
            </w:tr>
          </w:tbl>
          <w:bookmarkEnd w:id="18"/>
          <w:p/>
        </w:tc>
      </w:tr>
    </w:tbl>
    <w:bookmarkEnd w:id="19"/>
    <w:bookmarkStart w:id="20"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KTS patients may present with complications such as cellulitis, massive vaginal or visceral bleeding and other vascular complications as severe hematuria and hematochezia (fewer than 5%). Other less common but serious manifestations include deep vein thrombosis (5.8%), pulmonary embolism (2.3%) andsevere PPH (11%)</w:t>
      </w:r>
      <w:r>
        <w:t xml:space="preserve">[12]</w:t>
      </w:r>
      <w:r>
        <w:t xml:space="preserve">. Our patient had clinically significant hematuria which was the sentinel presentation leading to admission, a manifestation attributable to intravesical venous malformations confirmed on both MRI and contrast-enhanced pelvic imaging.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w:t>
      </w:r>
      <w:r>
        <w:t xml:space="preserve"> </w:t>
      </w:r>
      <w:r>
        <w:t xml:space="preserve">[13,14]</w:t>
      </w:r>
      <w:r>
        <w:t xml:space="preserve">.</w:t>
      </w:r>
    </w:p>
    <w:p>
      <w:pPr>
        <w:pStyle w:val="BodyText"/>
      </w:pPr>
      <w:r>
        <w:t xml:space="preserve">Our patient underwent first-trimester ultrasound and MRI at 30 weeks.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[15]</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complications, including intrauterine growth restriction (IUGR), were reported in a few cases. However, no significant fetal effects were reported in the majority of patients with KTS, indicating that its impact on fetal development is generally limited</w:t>
      </w:r>
      <w:r>
        <w:t xml:space="preserve">[16]</w:t>
      </w:r>
      <w:r>
        <w:t xml:space="preserve">. In our case, 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 [</w:t>
      </w:r>
      <w:r>
        <w:t xml:space="preserve">[9]</w:t>
      </w:r>
      <w:r>
        <w:t xml:space="preserve">]</w:t>
      </w:r>
      <w:r>
        <w:t xml:space="preserve">[10]</w:t>
      </w:r>
      <w:r>
        <w:t xml:space="preserve">[11]</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w:t>
      </w:r>
    </w:p>
    <w:p>
      <w:pPr>
        <w:pStyle w:val="BodyText"/>
      </w:pPr>
      <w:r>
        <w:t xml:space="preserve">A healthy female neonate was delivered demonstrated no clinical features of KTS, supporting the current understanding that KTS does not follow a straightforward vertical transmission pattern, respectively. Consistent with all three previously reported cases[</w:t>
      </w:r>
      <w:r>
        <w:t xml:space="preserve">[9]</w:t>
      </w:r>
      <w:r>
        <w:t xml:space="preserve">]</w:t>
      </w:r>
      <w:r>
        <w:t xml:space="preserve">[10]</w:t>
      </w:r>
      <w:r>
        <w:t xml:space="preserve">[11]</w:t>
      </w:r>
      <w:r>
        <w:t xml:space="preserve">.</w:t>
      </w:r>
    </w:p>
    <w:p>
      <w:pPr>
        <w:pStyle w:val="BodyText"/>
      </w:pPr>
      <w:r>
        <w:rPr>
          <w:b/>
          <w:bCs/>
        </w:rPr>
        <w:t xml:space="preserve">Peripartum KMS and postoperative course</w:t>
      </w:r>
    </w:p>
    <w:p>
      <w:pPr>
        <w:pStyle w:val="BodyText"/>
      </w:pPr>
      <w:r>
        <w:t xml:space="preserve">The postoperative course was complicated by hemoperitoneum and lower uterine segment hematoma. The definitive diagnosis of KMS was established on day four, supported by hypofibrinogenemia and markedly elevated D-dimer along with the severe thrombocytopenia — laboratory findings fulfilling the diagnostic criteria of consumptive coagulopathy in the context of underlying vascular abnormalities</w:t>
      </w:r>
      <w:r>
        <w:t xml:space="preserve"> </w:t>
      </w:r>
      <w:r>
        <w:t xml:space="preserve">[7]</w:t>
      </w:r>
      <w:r>
        <w:t xml:space="preserve">.</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Using anticoagulation-antifibrinolytic combination reflects the dual-pathway pathophysiology of KMS and is consistent with the approach described in two of the three previously reported cases [</w:t>
      </w:r>
      <w:r>
        <w:t xml:space="preserve">[9]</w:t>
      </w:r>
      <w:r>
        <w:t xml:space="preserve">]</w:t>
      </w:r>
      <w:r>
        <w:t xml:space="preserve">[10]</w:t>
      </w:r>
      <w:r>
        <w:t xml:space="preserve">. Corticosteroid therapy was incorporated given its proposed role in reducing vascular lesion activity and platelet trapping. The patient ultimately received a massive transfusion — alongside infective prophylaxis.</w:t>
      </w:r>
    </w:p>
    <w:p>
      <w:pPr>
        <w:pStyle w:val="BodyText"/>
      </w:pPr>
      <w:r>
        <w:t xml:space="preserve">A pattern consistent with the refractory coagulopathy observed in all previously reported cases, where postpartum laboratory parameters failed to normalize despite active treatment</w:t>
      </w:r>
      <w:r>
        <w:t xml:space="preserve"> </w:t>
      </w:r>
      <w:r>
        <w:t xml:space="preserve">[9–11]</w:t>
      </w:r>
      <w:r>
        <w:t xml:space="preserve">. The prompt recognition and initiation of therapy are critical to reduce mortality in KMS. The patient eventually made a complete recovery on day ten, representing a favorable outcome relative to the severe postoperative morbidity — including sepsis, peritonitis, DIC, and hysterectomy — reported in the most complicated previously published case</w:t>
      </w:r>
      <w:r>
        <w:t xml:space="preserve">[11]</w:t>
      </w:r>
      <w:r>
        <w:t xml:space="preserve">.</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[15]</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20"/>
    <w:bookmarkStart w:id="21"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21"/>
    <w:bookmarkStart w:id="22"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22"/>
    <w:bookmarkStart w:id="30" w:name="declarations"/>
    <w:p>
      <w:pPr>
        <w:pStyle w:val="Heading1"/>
      </w:pPr>
      <w:r>
        <w:t xml:space="preserve">Declarations</w:t>
      </w:r>
    </w:p>
    <w:bookmarkStart w:id="23" w:name="Xd182db0490b2de20bd2b4e4cc8698599182035f"/>
    <w:p>
      <w:pPr>
        <w:pStyle w:val="Heading2"/>
      </w:pPr>
      <w:r>
        <w:t xml:space="preserve">Ethics approval and consent to participate</w:t>
      </w:r>
    </w:p>
    <w:p>
      <w:pPr>
        <w:pStyle w:val="FirstParagraph"/>
      </w:pPr>
      <w:r>
        <w:t xml:space="preserve">Not applicable.</w:t>
      </w:r>
    </w:p>
    <w:bookmarkEnd w:id="23"/>
    <w:bookmarkStart w:id="24" w:name="consent-for-publication"/>
    <w:p>
      <w:pPr>
        <w:pStyle w:val="Heading2"/>
      </w:pPr>
      <w:r>
        <w:t xml:space="preserve">Consent for publication</w:t>
      </w:r>
    </w:p>
    <w:p>
      <w:pPr>
        <w:pStyle w:val="FirstParagraph"/>
      </w:pPr>
      <w:r>
        <w:t xml:space="preserve">A written consent for publication has been obtained from the patient.</w:t>
      </w:r>
    </w:p>
    <w:bookmarkEnd w:id="24"/>
    <w:bookmarkStart w:id="25"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5"/>
    <w:bookmarkStart w:id="26" w:name="competing-interests"/>
    <w:p>
      <w:pPr>
        <w:pStyle w:val="Heading2"/>
      </w:pPr>
      <w:r>
        <w:t xml:space="preserve">Competing interests</w:t>
      </w:r>
    </w:p>
    <w:p>
      <w:pPr>
        <w:pStyle w:val="FirstParagraph"/>
      </w:pPr>
      <w:r>
        <w:t xml:space="preserve">The authors declare that they have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8"/>
    <w:bookmarkStart w:id="29"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9"/>
    <w:bookmarkEnd w:id="30"/>
    <w:bookmarkStart w:id="64" w:name="references"/>
    <w:p>
      <w:pPr>
        <w:pStyle w:val="Heading1"/>
      </w:pPr>
      <w:r>
        <w:t xml:space="preserve">References</w:t>
      </w:r>
    </w:p>
    <w:bookmarkStart w:id="63" w:name="refs"/>
    <w:bookmarkStart w:id="32"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1">
        <w:r>
          <w:rPr>
            <w:rStyle w:val="Hyperlink"/>
          </w:rPr>
          <w:t xml:space="preserve">https://www.issva.org/UserFiles/file/ISSVA-Classification-2018.pdf</w:t>
        </w:r>
      </w:hyperlink>
      <w:r>
        <w:t xml:space="preserve">; 2018.</w:t>
      </w:r>
    </w:p>
    <w:bookmarkEnd w:id="32"/>
    <w:bookmarkStart w:id="34" w:name="ref-Pavone2023"/>
    <w:p>
      <w:pPr>
        <w:pStyle w:val="Bibliography"/>
      </w:pPr>
      <w:r>
        <w:t xml:space="preserve">2. Pavone P, Marino L, Cacciaguerra G, Di Nora A, Parano E, Musumeci G, et al.</w:t>
      </w:r>
      <w:r>
        <w:t xml:space="preserve"> </w:t>
      </w:r>
      <w:hyperlink r:id="rId33">
        <w:r>
          <w:rPr>
            <w:rStyle w:val="Hyperlink"/>
          </w:rPr>
          <w:t xml:space="preserve">Klippel-trenaunay syndrome, segmental/focal overgrowth malformations: A review</w:t>
        </w:r>
      </w:hyperlink>
      <w:r>
        <w:t xml:space="preserve">. Children (Basel). 2023;10:1421.</w:t>
      </w:r>
    </w:p>
    <w:bookmarkEnd w:id="34"/>
    <w:bookmarkStart w:id="36" w:name="ref-mckusick1963"/>
    <w:p>
      <w:pPr>
        <w:pStyle w:val="Bibliography"/>
      </w:pPr>
      <w:r>
        <w:t xml:space="preserve">3. McKusick VA. Frederick parkes weber</w:t>
      </w:r>
      <w:r>
        <w:t xml:space="preserve">1863-1962. JAMA [Internet]. 1963;183. Available from:</w:t>
      </w:r>
      <w:r>
        <w:t xml:space="preserve"> </w:t>
      </w:r>
      <w:hyperlink r:id="rId35">
        <w:r>
          <w:rPr>
            <w:rStyle w:val="Hyperlink"/>
          </w:rPr>
          <w:t xml:space="preserve">http://dx.doi.org/10.1001/jama.1963.63700010018015</w:t>
        </w:r>
      </w:hyperlink>
    </w:p>
    <w:bookmarkEnd w:id="36"/>
    <w:bookmarkStart w:id="38" w:name="ref-sikova1999"/>
    <w:p>
      <w:pPr>
        <w:pStyle w:val="Bibliography"/>
      </w:pPr>
      <w:r>
        <w:t xml:space="preserve">4. Sikova DVD, Pavlova LjT, Laskoska MTV, Nikolovska ST, Biljanovska NC. Naevus varicosus osteohypertrophicus. Springer US; 1999. p. 535–40. Available from:</w:t>
      </w:r>
      <w:r>
        <w:t xml:space="preserve"> </w:t>
      </w:r>
      <w:hyperlink r:id="rId37">
        <w:r>
          <w:rPr>
            <w:rStyle w:val="Hyperlink"/>
          </w:rPr>
          <w:t xml:space="preserve">http://dx.doi.org/10.1007/978-1-4615-4857-7_80</w:t>
        </w:r>
      </w:hyperlink>
    </w:p>
    <w:bookmarkEnd w:id="38"/>
    <w:bookmarkStart w:id="40"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9">
        <w:r>
          <w:rPr>
            <w:rStyle w:val="Hyperlink"/>
          </w:rPr>
          <w:t xml:space="preserve">http://dx.doi.org/10.1016/S0025-6196(11)63615-X</w:t>
        </w:r>
      </w:hyperlink>
    </w:p>
    <w:bookmarkEnd w:id="40"/>
    <w:bookmarkStart w:id="42"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41">
        <w:r>
          <w:rPr>
            <w:rStyle w:val="Hyperlink"/>
          </w:rPr>
          <w:t xml:space="preserve">https://www.uptodate.com/contents/klippel-trenaunay-syndrome-clinical-manifestations-diagnosis-and-management</w:t>
        </w:r>
      </w:hyperlink>
      <w:r>
        <w:t xml:space="preserve">; 2024.</w:t>
      </w:r>
    </w:p>
    <w:bookmarkEnd w:id="42"/>
    <w:bookmarkStart w:id="44"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3">
        <w:r>
          <w:rPr>
            <w:rStyle w:val="Hyperlink"/>
          </w:rPr>
          <w:t xml:space="preserve">http://dx.doi.org/10.1177/1179545X17699849</w:t>
        </w:r>
      </w:hyperlink>
    </w:p>
    <w:bookmarkEnd w:id="44"/>
    <w:bookmarkStart w:id="46" w:name="ref-Tian2026"/>
    <w:p>
      <w:pPr>
        <w:pStyle w:val="Bibliography"/>
      </w:pPr>
      <w:r>
        <w:t xml:space="preserve">8. Tian Y, Yuan Y, Wei L, Xu Z, Li L, Li L.</w:t>
      </w:r>
      <w:r>
        <w:t xml:space="preserve"> </w:t>
      </w:r>
      <w:hyperlink r:id="rId45">
        <w:r>
          <w:rPr>
            <w:rStyle w:val="Hyperlink"/>
          </w:rPr>
          <w:t xml:space="preserve">Kaposiform hemangioendothelioma: Diagnosis and treatment</w:t>
        </w:r>
      </w:hyperlink>
      <w:r>
        <w:t xml:space="preserve">. Pediatric Investigation. 2026;</w:t>
      </w:r>
    </w:p>
    <w:bookmarkEnd w:id="46"/>
    <w:bookmarkStart w:id="48" w:name="ref-Neubert1995"/>
    <w:p>
      <w:pPr>
        <w:pStyle w:val="Bibliography"/>
      </w:pPr>
      <w:r>
        <w:t xml:space="preserve">9. Neubert GA, Golden MA, Rose NC.</w:t>
      </w:r>
      <w:r>
        <w:t xml:space="preserve"> </w:t>
      </w:r>
      <w:hyperlink r:id="rId47">
        <w:r>
          <w:rPr>
            <w:rStyle w:val="Hyperlink"/>
          </w:rPr>
          <w:t xml:space="preserve">Kasabach-merritt coagulopathy complicating klippel-trenaunay-weber syndrome in pregnancy</w:t>
        </w:r>
      </w:hyperlink>
      <w:r>
        <w:t xml:space="preserve">. Obstetrics &amp; Gynecology. 1995;85:831–3.</w:t>
      </w:r>
    </w:p>
    <w:bookmarkEnd w:id="48"/>
    <w:bookmarkStart w:id="50" w:name="ref-Kanmani2021"/>
    <w:p>
      <w:pPr>
        <w:pStyle w:val="Bibliography"/>
      </w:pPr>
      <w:r>
        <w:t xml:space="preserve">10. Kanmani K, Meena M, Narmadha D, A. GV.</w:t>
      </w:r>
      <w:r>
        <w:t xml:space="preserve"> </w:t>
      </w:r>
      <w:hyperlink r:id="rId49">
        <w:r>
          <w:rPr>
            <w:rStyle w:val="Hyperlink"/>
          </w:rPr>
          <w:t xml:space="preserve">Klippel trenaunay syndrome–an obstetric challenge</w:t>
        </w:r>
      </w:hyperlink>
      <w:r>
        <w:t xml:space="preserve">. International Journal of Reproduction, Contraception, Obstetrics and Gynecology. 2021;10:2081–4.</w:t>
      </w:r>
    </w:p>
    <w:bookmarkEnd w:id="50"/>
    <w:bookmarkStart w:id="52"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51">
        <w:r>
          <w:rPr>
            <w:rStyle w:val="Hyperlink"/>
          </w:rPr>
          <w:t xml:space="preserve">http://dx.doi.org/10.1097/MD.0000000000018378</w:t>
        </w:r>
      </w:hyperlink>
    </w:p>
    <w:bookmarkEnd w:id="52"/>
    <w:bookmarkStart w:id="54" w:name="ref-Chang2025"/>
    <w:p>
      <w:pPr>
        <w:pStyle w:val="Bibliography"/>
      </w:pPr>
      <w:r>
        <w:t xml:space="preserve">12.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3">
        <w:r>
          <w:rPr>
            <w:rStyle w:val="Hyperlink"/>
          </w:rPr>
          <w:t xml:space="preserve">http://dx.doi.org/10.7759/cureus.90065</w:t>
        </w:r>
      </w:hyperlink>
    </w:p>
    <w:bookmarkEnd w:id="54"/>
    <w:bookmarkStart w:id="56" w:name="ref-Howlett1994"/>
    <w:p>
      <w:pPr>
        <w:pStyle w:val="Bibliography"/>
      </w:pPr>
      <w:r>
        <w:t xml:space="preserve">13. Howlett DC, Roebuck DJ, Frazer CK, Ayers B. The use of ultrasound in the venous assessment of lower limb klippel-trenaunay syndrome. European Journal of Radiology [Internet]. 1994;18:224–6. Available from:</w:t>
      </w:r>
      <w:r>
        <w:t xml:space="preserve"> </w:t>
      </w:r>
      <w:hyperlink r:id="rId55">
        <w:r>
          <w:rPr>
            <w:rStyle w:val="Hyperlink"/>
          </w:rPr>
          <w:t xml:space="preserve">http://dx.doi.org/10.1016/0720-048x(94)90340-9</w:t>
        </w:r>
      </w:hyperlink>
    </w:p>
    <w:bookmarkEnd w:id="56"/>
    <w:bookmarkStart w:id="58" w:name="ref-Asghar2020"/>
    <w:p>
      <w:pPr>
        <w:pStyle w:val="Bibliography"/>
      </w:pPr>
      <w:r>
        <w:t xml:space="preserve">14. Asghar F, Aqeel R, Farooque U, Haq A, Taimur M. Presentation and management of klippel-trenaunay syndrome: A review of available data. Cureus [Internet]. 2020; Available from:</w:t>
      </w:r>
      <w:r>
        <w:t xml:space="preserve"> </w:t>
      </w:r>
      <w:hyperlink r:id="rId57">
        <w:r>
          <w:rPr>
            <w:rStyle w:val="Hyperlink"/>
          </w:rPr>
          <w:t xml:space="preserve">http://dx.doi.org/10.7759/cureus.8023</w:t>
        </w:r>
      </w:hyperlink>
    </w:p>
    <w:bookmarkEnd w:id="58"/>
    <w:bookmarkStart w:id="60" w:name="ref-silvacorreia2024"/>
    <w:p>
      <w:pPr>
        <w:pStyle w:val="Bibliography"/>
      </w:pPr>
      <w:r>
        <w:t xml:space="preserve">15.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9">
        <w:r>
          <w:rPr>
            <w:rStyle w:val="Hyperlink"/>
          </w:rPr>
          <w:t xml:space="preserve">http://dx.doi.org/10.1002/ijgo.15889</w:t>
        </w:r>
      </w:hyperlink>
    </w:p>
    <w:bookmarkEnd w:id="60"/>
    <w:bookmarkStart w:id="62" w:name="ref-Akay2025"/>
    <w:p>
      <w:pPr>
        <w:pStyle w:val="Bibliography"/>
      </w:pPr>
      <w:r>
        <w:t xml:space="preserve">16. Akay E, Uzun Gül AD, Türkoğlu A.</w:t>
      </w:r>
      <w:r>
        <w:t xml:space="preserve"> </w:t>
      </w:r>
      <w:hyperlink r:id="rId61">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dx.doi.org/10.1001/jama.1963.63700010018015" TargetMode="External" /><Relationship Type="http://schemas.openxmlformats.org/officeDocument/2006/relationships/hyperlink" Id="rId59"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55" Target="http://dx.doi.org/10.1016/0720-048x(94)90340-9" TargetMode="External" /><Relationship Type="http://schemas.openxmlformats.org/officeDocument/2006/relationships/hyperlink" Id="rId39" Target="http://dx.doi.org/10.1016/S0025-6196(11)63615-X" TargetMode="External" /><Relationship Type="http://schemas.openxmlformats.org/officeDocument/2006/relationships/hyperlink" Id="rId51" Target="http://dx.doi.org/10.1097/MD.0000000000018378" TargetMode="External" /><Relationship Type="http://schemas.openxmlformats.org/officeDocument/2006/relationships/hyperlink" Id="rId43" Target="http://dx.doi.org/10.1177/1179545X17699849" TargetMode="External" /><Relationship Type="http://schemas.openxmlformats.org/officeDocument/2006/relationships/hyperlink" Id="rId57" Target="http://dx.doi.org/10.7759/cureus.8023" TargetMode="External" /><Relationship Type="http://schemas.openxmlformats.org/officeDocument/2006/relationships/hyperlink" Id="rId53" Target="http://dx.doi.org/10.7759/cureus.90065" TargetMode="External" /><Relationship Type="http://schemas.openxmlformats.org/officeDocument/2006/relationships/hyperlink" Id="rId45" Target="https://doi.org/10.1002/ped4.70041" TargetMode="External" /><Relationship Type="http://schemas.openxmlformats.org/officeDocument/2006/relationships/hyperlink" Id="rId47" Target="https://doi.org/10.1016/0029-7844(94)00349-I" TargetMode="External" /><Relationship Type="http://schemas.openxmlformats.org/officeDocument/2006/relationships/hyperlink" Id="rId61" Target="https://doi.org/10.1186/s12884-025-07540-0" TargetMode="External" /><Relationship Type="http://schemas.openxmlformats.org/officeDocument/2006/relationships/hyperlink" Id="rId49"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5" Target="http://dx.doi.org/10.1001/jama.1963.63700010018015" TargetMode="External" /><Relationship Type="http://schemas.openxmlformats.org/officeDocument/2006/relationships/hyperlink" Id="rId59"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55" Target="http://dx.doi.org/10.1016/0720-048x(94)90340-9" TargetMode="External" /><Relationship Type="http://schemas.openxmlformats.org/officeDocument/2006/relationships/hyperlink" Id="rId39" Target="http://dx.doi.org/10.1016/S0025-6196(11)63615-X" TargetMode="External" /><Relationship Type="http://schemas.openxmlformats.org/officeDocument/2006/relationships/hyperlink" Id="rId51" Target="http://dx.doi.org/10.1097/MD.0000000000018378" TargetMode="External" /><Relationship Type="http://schemas.openxmlformats.org/officeDocument/2006/relationships/hyperlink" Id="rId43" Target="http://dx.doi.org/10.1177/1179545X17699849" TargetMode="External" /><Relationship Type="http://schemas.openxmlformats.org/officeDocument/2006/relationships/hyperlink" Id="rId57" Target="http://dx.doi.org/10.7759/cureus.8023" TargetMode="External" /><Relationship Type="http://schemas.openxmlformats.org/officeDocument/2006/relationships/hyperlink" Id="rId53" Target="http://dx.doi.org/10.7759/cureus.90065" TargetMode="External" /><Relationship Type="http://schemas.openxmlformats.org/officeDocument/2006/relationships/hyperlink" Id="rId45" Target="https://doi.org/10.1002/ped4.70041" TargetMode="External" /><Relationship Type="http://schemas.openxmlformats.org/officeDocument/2006/relationships/hyperlink" Id="rId47" Target="https://doi.org/10.1016/0029-7844(94)00349-I" TargetMode="External" /><Relationship Type="http://schemas.openxmlformats.org/officeDocument/2006/relationships/hyperlink" Id="rId61" Target="https://doi.org/10.1186/s12884-025-07540-0" TargetMode="External" /><Relationship Type="http://schemas.openxmlformats.org/officeDocument/2006/relationships/hyperlink" Id="rId49"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2026-06-11T16:11:06Z</dcterms:created>
  <dcterms:modified xsi:type="dcterms:W3CDTF">2026-06-11T16:11:06Z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source</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