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a rare genetic syndrome, affects an estimated 2–5 per 100,000 individuals. The features include a triad of capillary malformations, venous and lymphatic anomalies, and limb overgrowth.</w:t>
      </w:r>
      <w:r>
        <w:t xml:space="preserve"> </w:t>
      </w:r>
      <w:r>
        <w:t xml:space="preserve">[1,2]</w:t>
      </w:r>
      <w:r>
        <w:t xml:space="preserve"> </w:t>
      </w:r>
      <w:r>
        <w:t xml:space="preserve">When KTS occurs in pregnancy, it presents significant challenges due to hormonally and hemodynamically driven vascular engorgement, increasing the risk of thromboembolism, hemorrhage, and coagulopathy.</w:t>
      </w:r>
      <w:r>
        <w:t xml:space="preserve"> </w:t>
      </w:r>
      <w:r>
        <w:t xml:space="preserve">[3]</w:t>
      </w:r>
      <w:r>
        <w:t xml:space="preserve"> </w:t>
      </w:r>
      <w:r>
        <w:t xml:space="preserve">Coagulopathy may reflect the development of Kasabach-Merritt syndrome (KMS).</w:t>
      </w:r>
      <w:r>
        <w:t xml:space="preserve"> </w:t>
      </w:r>
      <w:r>
        <w:t xml:space="preserve">[4]</w:t>
      </w:r>
    </w:p>
    <w:p>
      <w:pPr>
        <w:pStyle w:val="BodyText"/>
      </w:pPr>
      <w:r>
        <w:t xml:space="preserve">Even more rarely, Kasabach-Merritt Syndrome (KMS) — a life-threatening consumptive coagulopathy linked to rapidly proliferating vascular tumors such as kaposiform hemangioendothelioma and tufted angioma —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[5]</w:t>
      </w:r>
    </w:p>
    <w:p>
      <w:pPr>
        <w:pStyle w:val="BodyText"/>
      </w:pPr>
      <w:r>
        <w:t xml:space="preserve">The co-occurrence of KTS and KMS in pregnancy represents a critical obstetric emergency, demanding early recognition and immediate multidisciplinary intervention This convergence is extremely rare and only two cases have been previously reported.</w:t>
      </w:r>
      <w:r>
        <w:t xml:space="preserve">[4,6]</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This new case report highlights the clinical challenges and management strategies and underscores the importance of early recognition and coordinated care to optimize maternal and neonatal outcomes.</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[4,6,7]</w:t>
      </w:r>
    </w:p>
    <w:p>
      <w:pPr>
        <w:pStyle w:val="BodyText"/>
      </w:pPr>
      <w:r>
        <w:t xml:space="preserve">KTS is defined as a triad of clinical features, including unilateral cutaneous hemangiomas, varicose veins, soft tissue, and asymmetric osseous hypertrophy of the ipsilateral extremities. Cases may also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This case report describes the course of a pregnancy in a woman with Klippel–Trenaunay syndrome complicated by Kasabach–Merritt syndrome and fetal growth restriction. This is an extremely rare scenario. Maternal KMS complicating KTS in pregnancy has been reported in the literature by only</w:t>
      </w:r>
      <w:r>
        <w:t xml:space="preserve"> </w:t>
      </w:r>
      <w:r>
        <w:rPr>
          <w:b/>
          <w:bCs/>
        </w:rPr>
        <w:t xml:space="preserve">two case reports</w:t>
      </w:r>
      <w:r>
        <w:t xml:space="preserve"> </w:t>
      </w:r>
      <w:r>
        <w:t xml:space="preserve">[4,6]</w:t>
      </w:r>
      <w:r>
        <w:t xml:space="preserve">.</w:t>
      </w:r>
    </w:p>
    <w:p>
      <w:pPr>
        <w:pStyle w:val="BodyText"/>
      </w:pPr>
      <w:r>
        <w:t xml:space="preserve">KTS requires at least</w:t>
      </w:r>
      <w:r>
        <w:t xml:space="preserve"> </w:t>
      </w:r>
      <w:r>
        <w:rPr>
          <w:b/>
          <w:bCs/>
        </w:rPr>
        <w:t xml:space="preserve">two of three</w:t>
      </w:r>
      <w:r>
        <w:t xml:space="preserve"> </w:t>
      </w:r>
      <w:r>
        <w:t xml:space="preserve">features of the classic triad — (1) capillary malformation (port-wine stain), (2) venous and/or lymphatic malformations/varicosities, and (3) soft tissue and/or bony hypertrophy of one or more limbs — in the</w:t>
      </w:r>
      <w:r>
        <w:t xml:space="preserve"> </w:t>
      </w:r>
      <w:r>
        <w:rPr>
          <w:b/>
          <w:bCs/>
        </w:rPr>
        <w:t xml:space="preserve">absence</w:t>
      </w:r>
      <w:r>
        <w:t xml:space="preserve"> </w:t>
      </w:r>
      <w:r>
        <w:t xml:space="preserve">of arterio-venous malformation (which would indicate Parkes Weber syndrome instead).</w:t>
      </w:r>
      <w:r>
        <w:t xml:space="preserve"> </w:t>
      </w:r>
      <w:r>
        <w:t xml:space="preserve">[1,3,8]</w:t>
      </w:r>
    </w:p>
    <w:p>
      <w:pPr>
        <w:pStyle w:val="BodyText"/>
      </w:pPr>
      <w:r>
        <w:t xml:space="preserve">Our patient’s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syndrome is extremely rare.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4" w:name="references"/>
    <w:p>
      <w:pPr>
        <w:pStyle w:val="Heading1"/>
      </w:pPr>
      <w:r>
        <w:t xml:space="preserve">References</w:t>
      </w:r>
    </w:p>
    <w:bookmarkStart w:id="53" w:name="refs"/>
    <w:bookmarkStart w:id="38"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7">
        <w:r>
          <w:rPr>
            <w:rStyle w:val="Hyperlink"/>
          </w:rPr>
          <w:t xml:space="preserve">https://www.issva.org/UserFiles/file/ISSVA-Classification-2018.pdf</w:t>
        </w:r>
      </w:hyperlink>
      <w:r>
        <w:t xml:space="preserve">; 2018.</w:t>
      </w:r>
    </w:p>
    <w:bookmarkEnd w:id="38"/>
    <w:bookmarkStart w:id="40" w:name="ref-Pavone2023"/>
    <w:p>
      <w:pPr>
        <w:pStyle w:val="Bibliography"/>
      </w:pPr>
      <w:r>
        <w:t xml:space="preserve">2. Pavone P, Marino L, Cacciaguerra G, Di Nora A, Parano E, Musumeci G, et al.</w:t>
      </w:r>
      <w:r>
        <w:t xml:space="preserve"> </w:t>
      </w:r>
      <w:hyperlink r:id="rId39">
        <w:r>
          <w:rPr>
            <w:rStyle w:val="Hyperlink"/>
          </w:rPr>
          <w:t xml:space="preserve">Klippel-trenaunay syndrome, segmental/focal overgrowth malformations: A review</w:t>
        </w:r>
      </w:hyperlink>
      <w:r>
        <w:t xml:space="preserve">. Children (Basel). 2023;10:1421.</w:t>
      </w:r>
    </w:p>
    <w:bookmarkEnd w:id="40"/>
    <w:bookmarkStart w:id="42" w:name="ref-Blei2024"/>
    <w:p>
      <w:pPr>
        <w:pStyle w:val="Bibliography"/>
      </w:pPr>
      <w:r>
        <w:t xml:space="preserve">3.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Tian2026"/>
    <w:p>
      <w:pPr>
        <w:pStyle w:val="Bibliography"/>
      </w:pPr>
      <w:r>
        <w:t xml:space="preserve">5.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Kanmani2021"/>
    <w:p>
      <w:pPr>
        <w:pStyle w:val="Bibliography"/>
      </w:pPr>
      <w:r>
        <w:t xml:space="preserve">6. Kanmani K, Meena M, Narmadha D, A. GV.</w:t>
      </w:r>
      <w:r>
        <w:t xml:space="preserve"> </w:t>
      </w:r>
      <w:hyperlink r:id="rId47">
        <w:r>
          <w:rPr>
            <w:rStyle w:val="Hyperlink"/>
          </w:rPr>
          <w:t xml:space="preserve">Klippel trenaunay syndrome–an obstetric challenge</w:t>
        </w:r>
      </w:hyperlink>
      <w:r>
        <w:t xml:space="preserve">. International Journal of Reproduction, Contraception, Obstetrics and Gynecology. 2021;10:2081–4.</w:t>
      </w:r>
    </w:p>
    <w:bookmarkEnd w:id="48"/>
    <w:bookmarkStart w:id="50" w:name="ref-zhang2019"/>
    <w:p>
      <w:pPr>
        <w:pStyle w:val="Bibliography"/>
      </w:pPr>
      <w:r>
        <w:t xml:space="preserve">7. Zhang J, Wang K, Mei J. Late puerperal hemorrhage of a patient with Klippel</w:t>
      </w:r>
      <w:r>
        <w:t xml:space="preserve">Trenaunay syndrome. Medicine [Internet]. 2019;98:e18378. Available from:</w:t>
      </w:r>
      <w:r>
        <w:t xml:space="preserve"> </w:t>
      </w:r>
      <w:hyperlink r:id="rId49">
        <w:r>
          <w:rPr>
            <w:rStyle w:val="Hyperlink"/>
          </w:rPr>
          <w:t xml:space="preserve">http://dx.doi.org/10.1097/MD.0000000000018378</w:t>
        </w:r>
      </w:hyperlink>
    </w:p>
    <w:bookmarkEnd w:id="50"/>
    <w:bookmarkStart w:id="52" w:name="ref-goldenberg2025"/>
    <w:p>
      <w:pPr>
        <w:pStyle w:val="Bibliography"/>
      </w:pPr>
      <w:r>
        <w:t xml:space="preserve">8. Goldenberg DC, Vikkula M, Penington A, Blei F, Schultze-Kool L, Wassef M, et al. Updated Classification of Vascular Anomalies: A living document from the International Society for the Study of Vascular Anomalies Classification Group. Journal of Vascular Anomalies [Internet]. 2025;6:e113. Available from:</w:t>
      </w:r>
      <w:r>
        <w:t xml:space="preserve"> </w:t>
      </w:r>
      <w:hyperlink r:id="rId51">
        <w:r>
          <w:rPr>
            <w:rStyle w:val="Hyperlink"/>
          </w:rPr>
          <w:t xml:space="preserve">http://dx.doi.org/10.1097/JOVA.0000000000000113</w:t>
        </w:r>
      </w:hyperlink>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dx.doi.org/10.1097/JOVA.0000000000000113" TargetMode="External" /><Relationship Type="http://schemas.openxmlformats.org/officeDocument/2006/relationships/hyperlink" Id="rId49" Target="http://dx.doi.org/10.1097/MD.0000000000018378"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51" Target="http://dx.doi.org/10.1097/JOVA.0000000000000113" TargetMode="External" /><Relationship Type="http://schemas.openxmlformats.org/officeDocument/2006/relationships/hyperlink" Id="rId49" Target="http://dx.doi.org/10.1097/MD.0000000000018378"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2026-03-15T22:06:22Z</dcterms:created>
  <dcterms:modified xsi:type="dcterms:W3CDTF">2026-03-15T22:06:22Z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