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(PWS), distinguished from KTS by the presence of arteriovenous malformations (AVMs), which is abnormal connections between arteries and veins in the affected limb, potentially leading to high-output heart failure. Despite this distinction, both conditions share similar management principles.</w:t>
      </w:r>
      <w:r>
        <w:t xml:space="preserve">[3,4]</w:t>
      </w:r>
      <w:r>
        <w:t xml:space="preserve">. KTS is currently classified within the PIK3CA-Related Overgrowth Spectrum (PROS), a group of overgrowth syndromes with overlapping phenotypic features that share mutations in the PIK3CA gene.</w:t>
      </w:r>
    </w:p>
    <w:p>
      <w:pPr>
        <w:pStyle w:val="BodyText"/>
      </w:pPr>
      <w:r>
        <w:t xml:space="preserve">When pregnancy occurs in the setting of KTS, it presents significant challenges due to hormonally and hemodynamically driven vascular engorgement, increasing the risk of thromboembolism, hemorrhage, and coagulopathy.</w:t>
      </w:r>
      <w:r>
        <w:t xml:space="preserve"> </w:t>
      </w:r>
      <w:r>
        <w:t xml:space="preserve">[5]</w:t>
      </w:r>
      <w:r>
        <w:t xml:space="preserve"> </w:t>
      </w:r>
      <w:r>
        <w:t xml:space="preserve">Coagulopathy may reflect the development of Kasabach-Merritt syndrome (KMS).</w:t>
      </w:r>
    </w:p>
    <w:p>
      <w:pPr>
        <w:pStyle w:val="BodyText"/>
      </w:pPr>
      <w:r>
        <w:t xml:space="preserve">Even more rarely, Kasabach-Merritt Syndrome (KMS), first described in 1940, is a life-threatening consumptive coagulopathy associated with rapidly proliferating vascular tumors such as kaposiform hemangioendothelioma and tufted angioma, and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[6]</w:t>
      </w:r>
    </w:p>
    <w:p>
      <w:pPr>
        <w:pStyle w:val="BodyText"/>
      </w:pPr>
      <w:r>
        <w:t xml:space="preserve">The co-occurrence of KTS and KMS in pregnancy represents a critical obstetric emergency, that demands early recognition and immediate multidisciplinary intervention to reduce mortality. This convergence is extremely rare and only three cases have been previously reported.</w:t>
      </w:r>
      <w:r>
        <w:t xml:space="preserve">[7–9]</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We highlight the clinical challenges and management strategies and underscores the importance of early recognition and coordinated care to optimize maternal and neonatal outcomes.</w:t>
      </w:r>
    </w:p>
    <w:bookmarkEnd w:id="25"/>
    <w:bookmarkStart w:id="28" w:name="case-presentation"/>
    <w:p>
      <w:pPr>
        <w:pStyle w:val="Heading1"/>
      </w:pPr>
      <w:r>
        <w:t xml:space="preserve">Case Presentation</w:t>
      </w:r>
    </w:p>
    <w:p>
      <w:pPr>
        <w:pStyle w:val="FirstParagraph"/>
      </w:pPr>
      <w:r>
        <w:t xml:space="preserve">A 28-year-old multigravida, P2CS+1 (1L) was first admitted at 30+1 weeks of gestation for clinically significant hematuria on the 16th of December in Ain Shams University Hospital, Egypt. The timeline is detailed in</w:t>
      </w:r>
      <w:r>
        <w:t xml:space="preserve"> </w:t>
      </w:r>
      <w:hyperlink w:anchor="tbl-1">
        <w:r>
          <w:rPr>
            <w:rStyle w:val="Hyperlink"/>
          </w:rPr>
          <w:t xml:space="preserve">Table 1</w:t>
        </w:r>
      </w:hyperlink>
    </w:p>
    <w:p>
      <w:pPr>
        <w:pStyle w:val="BodyText"/>
      </w:pPr>
      <w:r>
        <w:t xml:space="preserve">The patient was first diagnosed at two years of age with Klippel-Trenaunay syndrome (KTS) involving both lower limbs, back, pelvis, and urinary bladder. She underwent surgery for varicose veins seven years ago, as well as orthopedic surgery for the insertion of plates and screws a year and a half ago.</w:t>
      </w:r>
    </w:p>
    <w:p>
      <w:pPr>
        <w:pStyle w:val="BodyText"/>
      </w:pPr>
      <w:r>
        <w:t xml:space="preserve">Her obstetric history includes two cesarean sections. Her first pregnancy was seven years ago and ended in neonatal death. Her second pregnancy was complicated by severe preeclampsia, postpartum wound hematoma, and sepsis, requiring ICU admission. She also had a history of spontaneous miscarriage for which she did not undergo dilatation and curettage. For her current pregnancy, she received two doses of antenatal corticosteroids on December 14</w:t>
      </w:r>
      <w:r>
        <w:rPr>
          <w:vertAlign w:val="superscript"/>
        </w:rPr>
        <w:t xml:space="preserve">th</w:t>
      </w:r>
      <w:r>
        <w:t xml:space="preserve"> </w:t>
      </w:r>
      <w:r>
        <w:t xml:space="preserve">and 15</w:t>
      </w:r>
      <w:r>
        <w:rPr>
          <w:vertAlign w:val="superscript"/>
        </w:rPr>
        <w:t xml:space="preserve">th</w:t>
      </w:r>
      <w:r>
        <w:t xml:space="preserve">.</w:t>
      </w:r>
    </w:p>
    <w:p>
      <w:pPr>
        <w:pStyle w:val="BodyText"/>
      </w:pPr>
      <w:r>
        <w:t xml:space="preserve">On examination, her blood pressure was 120/80 mmHg, temperature was 36.2° C, and heart rate was 68 bpm. Port-wine stains were seen in the back and gluteal region with discrepancy in the length of both lower limbs.</w:t>
      </w:r>
    </w:p>
    <w:p>
      <w:pPr>
        <w:pStyle w:val="BodyText"/>
      </w:pPr>
      <w:r>
        <w:t xml:space="preserve">A complete blood picture (CBC) revealed microcytic hypochromic anemia (hemoglobin 7.0 g/dl, hematocrit 23.0%) and thrombocytopenia (128,000 u/L), for which she received six units of packed cell transfusion to correct the worsening hemoglobin. ABO and Rh typing indicated B positive blood. Viral workup was negative for Hepatitis C and B and human immunodeficiency virus (HIV).</w:t>
      </w:r>
    </w:p>
    <w:p>
      <w:pPr>
        <w:pStyle w:val="BodyText"/>
      </w:pPr>
      <w:r>
        <w:t xml:space="preserve">Ultrasonography (US) demonstrated estimated fetal weight below the 10th percentile consistent with intrauterine growth restriction (IUGR), and an abnormal umbilical artery Doppler showing absent end-diastolic blood flow.</w:t>
      </w:r>
    </w:p>
    <w:p>
      <w:pPr>
        <w:pStyle w:val="BodyText"/>
      </w:pPr>
      <w:r>
        <w:t xml:space="preserve">Urological consultation was sought for the significant hematuria. Initial management included intravenous tranexamic acid and insertion of an indwelling silicone three-way urinary catheter for one week.</w:t>
      </w:r>
    </w:p>
    <w:p>
      <w:pPr>
        <w:pStyle w:val="BodyText"/>
      </w:pPr>
      <w:r>
        <w:t xml:space="preserve">On December 18</w:t>
      </w:r>
      <w:r>
        <w:rPr>
          <w:vertAlign w:val="superscript"/>
        </w:rPr>
        <w:t xml:space="preserve">th</w:t>
      </w:r>
      <w:r>
        <w:t xml:space="preserve">, pelviabdominal magnetic resonance imaging (MRI) was performed, demonstrating a gravid uterus with a single intrauterine pregnancy in cephalic lie with unremarkable placental location and attachment. Compression of the left ovarian vein and the left common iliac vein by the gravid uterus was seen, with associated slowing and dilatation of both veins. Extensive dilated tubular tortuous lesions suggestive of varicosities were observed in the pelvic, perivesical, perineal, and gluteal regions, more prominent on the left side, showing a</w:t>
      </w:r>
      <w:r>
        <w:t xml:space="preserve"> </w:t>
      </w:r>
      <w:r>
        <w:t xml:space="preserve">“bag of worms”</w:t>
      </w:r>
      <w:r>
        <w:t xml:space="preserve"> </w:t>
      </w:r>
      <w:r>
        <w:t xml:space="preserve">appearance. Similar lesions were present in breast subcutaneous tissue bilaterally. The urinary bladder contained blood products.</w:t>
      </w:r>
      <w:r>
        <w:br/>
      </w:r>
      <w:r>
        <w:t xml:space="preserve">The liver was mildly enlarged with noticeable vascular compression, while the gall bladder, spleen, and kidneys were unremarkable. Minimal bilateral pleural effusion was noticed.</w:t>
      </w:r>
    </w:p>
    <w:p>
      <w:pPr>
        <w:pStyle w:val="BodyText"/>
      </w:pPr>
      <w:r>
        <w:t xml:space="preserve">On December 21</w:t>
      </w:r>
      <w:r>
        <w:rPr>
          <w:vertAlign w:val="superscript"/>
        </w:rPr>
        <w:t xml:space="preserve">st</w:t>
      </w:r>
      <w:r>
        <w:t xml:space="preserve">, pelviabdominal ultrasonography, Color-Doppler study of both lower limb veins, and Color-Doppler and duplex study of both lower limb arteries were performed.</w:t>
      </w:r>
      <w:r>
        <w:br/>
      </w:r>
      <w:r>
        <w:t xml:space="preserve">Pelviabdominal ultrasonography revealed hepatosplenomegaly, soft tissue lesions in the urinary bladder, bilateral refluxing parametrial venous channels, and a single viable intra-uterine fetus.</w:t>
      </w:r>
      <w:r>
        <w:br/>
      </w:r>
      <w:r>
        <w:t xml:space="preserve">Lower limb vessel studies showed a normal venous and arterial system, with no evidence of deep vein thrombosis.</w:t>
      </w:r>
    </w:p>
    <w:p>
      <w:pPr>
        <w:pStyle w:val="BodyText"/>
      </w:pPr>
      <w:r>
        <w:t xml:space="preserve">Serial CBCs showed improving hemoglobin over the four days following the packed RBCs transfusion, which reached 9.4g/dL on December 22</w:t>
      </w:r>
      <w:r>
        <w:rPr>
          <w:vertAlign w:val="superscript"/>
        </w:rPr>
        <w:t xml:space="preserve">nd</w:t>
      </w:r>
      <w:r>
        <w:t xml:space="preserve">, while platelet count remained persistently low between 82,000 and 104,000. Iron profile showed elevated UIBC (unsaturated iron binding capacity) and low transferrin saturation. Lactate dehydrogenase (LDH) was elevated at 454 IU/L.</w:t>
      </w:r>
      <w:r>
        <w:br/>
      </w:r>
      <w:r>
        <w:t xml:space="preserve">On the same day, urinalysis demonstrated hematuria (2+), pyuria, and mild proteinuria (1+). Microscopic examination revealed &gt;100 red blood cells per high power field (RBCs/HPF), 40-45 pus cells per high power field (Pus Cell/HPF), and increased epithelial cells (2+). Uric acid crystals were present (2+). Other parameters were within normal limits.</w:t>
      </w:r>
    </w:p>
    <w:p>
      <w:pPr>
        <w:pStyle w:val="BodyText"/>
      </w:pPr>
      <w:r>
        <w:t xml:space="preserve">Coagulation studies on December 27</w:t>
      </w:r>
      <w:r>
        <w:rPr>
          <w:vertAlign w:val="superscript"/>
        </w:rPr>
        <w:t xml:space="preserve">th</w:t>
      </w:r>
      <w:r>
        <w:t xml:space="preserve"> </w:t>
      </w:r>
      <w:r>
        <w:t xml:space="preserve">and 28</w:t>
      </w:r>
      <w:r>
        <w:rPr>
          <w:vertAlign w:val="superscript"/>
        </w:rPr>
        <w:t xml:space="preserve">th</w:t>
      </w:r>
      <w:r>
        <w:t xml:space="preserve"> </w:t>
      </w:r>
      <w:r>
        <w:t xml:space="preserve">showed slightly elevated Prothrombin time (PT) while serum creatinine was low.</w:t>
      </w:r>
    </w:p>
    <w:p>
      <w:pPr>
        <w:pStyle w:val="BodyText"/>
      </w:pPr>
      <w:r>
        <w:t xml:space="preserve">A contrast-enhanced pelvic MRI was done on January 1, showing extensive venous malformations within the pelvis involving the cervix, vagina, anal canal, and extending downwards to the perineum and both labias. Extensive lesions were also seen within the gluteal region, thigh, anterior part of the abdominal cavity, and intravesically.</w:t>
      </w:r>
    </w:p>
    <w:p>
      <w:pPr>
        <w:pStyle w:val="BodyText"/>
      </w:pPr>
      <w:r>
        <w:t xml:space="preserve">The patient was monitored daily with regular assessment of vital parameters, general condition, fetal kicks, vaginal bleeding, uterine contractions, and evidence of membrane rupture. She received one unit of packed RBCs on January 2, followed by an additional unit on January 5.  </w:t>
      </w:r>
    </w:p>
    <w:p>
      <w:pPr>
        <w:pStyle w:val="BodyText"/>
      </w:pPr>
      <w:r>
        <w:t xml:space="preserve">At 35 weeks of gestation, based on worsening fetal Doppler parameters and maternal risks, a multidisciplinary team involving obstetrics, hematology, anesthesia, and neonatology recommended delivery by emergency cesarean section. Subsequently, on the 18</w:t>
      </w:r>
      <w:r>
        <w:rPr>
          <w:vertAlign w:val="superscript"/>
        </w:rPr>
        <w:t xml:space="preserve">th</w:t>
      </w:r>
      <w:r>
        <w:t xml:space="preserve"> </w:t>
      </w:r>
      <w:r>
        <w:t xml:space="preserve">of January, a cesarean section was performed at 35 weeks of gestation under general endotracheal anesthesia.</w:t>
      </w:r>
      <w:r>
        <w:br/>
      </w:r>
      <w:r>
        <w:t xml:space="preserve">Vertical midline abdominal incision was made revealing significant varicosities in the anterior abdominal wall, over the lower uterine segment, and in the interface between the uterus and the bladder. Lower segment incision of the uterus was made to deliver the fetus and placenta. This was followed by closure of the uterine wall in two layers. Placenta was complete, perineum intact. Hemostasis was secured and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receive vaccination due to low birth weight and did not require observation or respiratory support.</w:t>
      </w:r>
    </w:p>
    <w:p>
      <w:pPr>
        <w:pStyle w:val="BodyText"/>
      </w:pPr>
      <w:r>
        <w:t xml:space="preserve">Postoperatively, the mother was admitted to the intensive care unit (ICU) due to hemoperitoneum. Her pharmacological therapy included low-molecular-weight heparin (LMWH), tranexamic acid, ceftriaxone, pantoprazole, intravenous paracetamol, and charcoal-based herbal</w:t>
      </w:r>
    </w:p>
    <w:p>
      <w:pPr>
        <w:pStyle w:val="BodyText"/>
      </w:pPr>
      <w:r>
        <w:t xml:space="preserve">Slight hematuria was noted on the first post-operative day, and labs showed a declining hemoglobin and platelet count, as well as markedly elevated LDH, alkaline phosphatase, creatine kinase, and bilirubin. LMWH therapy was thereby put on hold, and the patient was given packed red blood cells and fresh frozen plasma, receiving a total of ten units of packed cell transfusion and fresh frozen plasma (with a one-to-one ratio) over the course of seven days. Additional laboratory investigations are demonstrated in</w:t>
      </w:r>
      <w:r>
        <w:t xml:space="preserve"> </w:t>
      </w:r>
      <w:hyperlink w:anchor="tbl-2">
        <w:r>
          <w:rPr>
            <w:rStyle w:val="Hyperlink"/>
          </w:rPr>
          <w:t xml:space="preserve">Table 2</w:t>
        </w:r>
      </w:hyperlink>
    </w:p>
    <w:p>
      <w:pPr>
        <w:pStyle w:val="BodyText"/>
      </w:pPr>
      <w:r>
        <w:t xml:space="preserve">On the second post-operative day, the patient’s hemoglobin and platelet count rapidly deteriorated, decreasing from 9.6g/dl and 218,000 plt to 7.6g/dl and 104,000 plt respectively. Replacement with blood products continued.</w:t>
      </w:r>
    </w:p>
    <w:p>
      <w:pPr>
        <w:pStyle w:val="BodyText"/>
      </w:pPr>
      <w:r>
        <w:t xml:space="preserve">On post-operative day three, TVUS revealed marked hemoperitoneum with a localized hematoma related to the lower uterine segment, approximately 12 cm in maximum length. A decision for conservative management was made by the attending consultant and the head of the unit. Pharmacological therapy was adjusted; LWMH was resumed, in addition to tranexamic acid, 1 amp calcium, 1 amp dexamethasone, magnesium sulfate, cefepime, omeprazole, clindamycin, and intravenous paracetamol.</w:t>
      </w:r>
    </w:p>
    <w:p>
      <w:pPr>
        <w:pStyle w:val="BodyText"/>
      </w:pPr>
      <w:r>
        <w:t xml:space="preserve">On post-operative day four, labs showed low fibrinogen (1.4g/l) and significantly elevated D-dimer (35.200 ug/mlFEU). These findings were suggestive of Kasabach Meritt Syndrome.</w:t>
      </w:r>
    </w:p>
    <w:p>
      <w:pPr>
        <w:pStyle w:val="BodyText"/>
      </w:pPr>
      <w:r>
        <w:t xml:space="preserve">Urinalysis on day 6 demonstrated hematuria (2+), mild pyuria and mild proteinuria (1+). Microscopic examination revealed &gt;100 red blood cells per high power field (RBCs/HPF), 13-15 pus cells per high power field (Pus Cell/HPF), and increased epithelial cells (1+). On day 7, her hemoglobin stabilized at 10.1 g/dl and remained stable over the following three days, while her platelet count remained low at 64,000.</w:t>
      </w:r>
    </w:p>
    <w:p>
      <w:pPr>
        <w:pStyle w:val="BodyText"/>
      </w:pPr>
      <w:r>
        <w:t xml:space="preserve">After further stabilization, the patient was discharged on day ten postoperatively. She was seen on day nineteen in the outpatient clinic. General condition was fair, lax abdomen, and skin sutures were removed with optimal healing of the abdominal incision.</w:t>
      </w:r>
    </w:p>
    <w:tbl>
      <w:tblPr>
        <w:tblStyle w:val="Table"/>
        <w:tblW w:type="pct" w:w="5000"/>
        <w:tblLayout w:type="fixed"/>
        <w:tblLook w:firstRow="0" w:lastRow="0" w:firstColumn="0" w:lastColumn="0" w:noHBand="0" w:noVBand="0" w:val="0000"/>
      </w:tblPr>
      <w:tblGrid>
        <w:gridCol w:w="7920"/>
      </w:tblGrid>
      <w:tr>
        <w:tc>
          <w:tcPr/>
          <w:bookmarkStart w:id="26"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2210"/>
              <w:gridCol w:w="5709"/>
            </w:tblGrid>
            <w:tr>
              <w:trPr>
                <w:tblHeader w:val="on"/>
              </w:trPr>
              <w:tc>
                <w:tcPr/>
                <w:p>
                  <w:pPr>
                    <w:pStyle w:val="Compact"/>
                    <w:jc w:val="left"/>
                    <w:jc w:val="center"/>
                  </w:pPr>
                  <w:r>
                    <w:t xml:space="preserve">Date</w:t>
                  </w:r>
                </w:p>
              </w:tc>
              <w:tc>
                <w:tcPr/>
                <w:p>
                  <w:pPr>
                    <w:pStyle w:val="Compact"/>
                    <w:jc w:val="left"/>
                    <w:jc w:val="center"/>
                  </w:pPr>
                  <w:r>
                    <w:t xml:space="preserve">Timeline</w:t>
                  </w:r>
                </w:p>
              </w:tc>
            </w:tr>
            <w:tr>
              <w:tc>
                <w:tcPr/>
                <w:p>
                  <w:pPr>
                    <w:pStyle w:val="Compact"/>
                    <w:jc w:val="left"/>
                    <w:jc w:val="center"/>
                  </w:pPr>
                  <w:r>
                    <w:t xml:space="preserve">30 +1 weeks’ gestation (Dec 16, 2025)</w:t>
                  </w:r>
                </w:p>
              </w:tc>
              <w:tc>
                <w:tcPr/>
                <w:p>
                  <w:pPr>
                    <w:pStyle w:val="Compact"/>
                    <w:jc w:val="left"/>
                    <w:jc w:val="center"/>
                  </w:pPr>
                  <w:r>
                    <w:t xml:space="preserve">Admission of a case of KTS, presenting with hematuria; anemia and thrombocytopenia; fetus &lt;10th percentile, received tranexamic acid and 6 units PRBCs.</w:t>
                  </w:r>
                </w:p>
              </w:tc>
            </w:tr>
            <w:tr>
              <w:tc>
                <w:tcPr/>
                <w:p>
                  <w:pPr>
                    <w:pStyle w:val="Compact"/>
                    <w:jc w:val="left"/>
                    <w:jc w:val="center"/>
                  </w:pPr>
                  <w:r>
                    <w:t xml:space="preserve">30+1 to 35 weeks’ gestation (Dec 18, 2025 – Jan 17, 2026)</w:t>
                  </w:r>
                </w:p>
              </w:tc>
              <w:tc>
                <w:tcPr/>
                <w:p>
                  <w:pPr>
                    <w:pStyle w:val="Compact"/>
                    <w:jc w:val="left"/>
                    <w:jc w:val="center"/>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jc w:val="center"/>
                  </w:pPr>
                  <w:r>
                    <w:t xml:space="preserve">35 weeks (Jan 18, 2026)</w:t>
                  </w:r>
                </w:p>
              </w:tc>
              <w:tc>
                <w:tcPr/>
                <w:p>
                  <w:pPr>
                    <w:pStyle w:val="Compact"/>
                    <w:jc w:val="left"/>
                    <w:jc w:val="center"/>
                  </w:pPr>
                  <w:r>
                    <w:t xml:space="preserve">Emergency cesarean section for fetal compromise → female neonate (1900 g). Mother addmitted to ICU, hemoperitoneum managed conservatively.</w:t>
                  </w:r>
                </w:p>
              </w:tc>
            </w:tr>
            <w:tr>
              <w:tc>
                <w:tcPr/>
                <w:p>
                  <w:pPr>
                    <w:pStyle w:val="Compact"/>
                    <w:jc w:val="left"/>
                    <w:jc w:val="center"/>
                  </w:pPr>
                  <w:r>
                    <w:t xml:space="preserve">Postoperative course</w:t>
                  </w:r>
                </w:p>
              </w:tc>
              <w:tc>
                <w:tcPr/>
                <w:p>
                  <w:pPr>
                    <w:jc w:val="left"/>
                    <w:jc w:val="center"/>
                  </w:pPr>
                  <w:r>
                    <w:rPr>
                      <w:b/>
                      <w:bCs/>
                    </w:rPr>
                    <w:t xml:space="preserve">Day 1:</w:t>
                  </w:r>
                  <w:r>
                    <w:t xml:space="preserve"> </w:t>
                  </w:r>
                  <w:r>
                    <w:t xml:space="preserve">Hematuria → LMWH discontinued; transfusion support (total 10 units PRBC + FFP over 7 days)</w:t>
                  </w:r>
                </w:p>
                <w:p>
                  <w:pPr>
                    <w:jc w:val="left"/>
                    <w:jc w:val="center"/>
                  </w:pPr>
                  <w:r>
                    <w:rPr>
                      <w:b/>
                      <w:bCs/>
                    </w:rPr>
                    <w:t xml:space="preserve">Day 2:</w:t>
                  </w:r>
                  <w:r>
                    <w:t xml:space="preserve"> </w:t>
                  </w:r>
                  <w:r>
                    <w:t xml:space="preserve">Hb 9.6→7.6 g/dL; platelets 218×10³→104×10³/µL</w:t>
                  </w:r>
                </w:p>
                <w:p>
                  <w:pPr>
                    <w:jc w:val="left"/>
                    <w:jc w:val="center"/>
                  </w:pPr>
                  <w:r>
                    <w:rPr>
                      <w:b/>
                      <w:bCs/>
                    </w:rPr>
                    <w:t xml:space="preserve">Day 3:</w:t>
                  </w:r>
                  <w:r>
                    <w:t xml:space="preserve"> </w:t>
                  </w:r>
                  <w:r>
                    <w:t xml:space="preserve">Conservative management → LMWH resumed + tranexamic acid</w:t>
                  </w:r>
                </w:p>
                <w:p>
                  <w:pPr>
                    <w:jc w:val="left"/>
                    <w:jc w:val="center"/>
                  </w:pPr>
                  <w:r>
                    <w:rPr>
                      <w:b/>
                      <w:bCs/>
                    </w:rPr>
                    <w:t xml:space="preserve">Day 4:</w:t>
                  </w:r>
                  <w:r>
                    <w:t xml:space="preserve"> </w:t>
                  </w:r>
                  <w:r>
                    <w:t xml:space="preserve">Hypofibrinogenemia (1.4 g/L) + elevated D-dimer (35.2 µg/mL) → consistent with Kasabach–Merritt syndrome</w:t>
                  </w:r>
                </w:p>
                <w:p>
                  <w:pPr>
                    <w:jc w:val="left"/>
                    <w:jc w:val="center"/>
                  </w:pPr>
                  <w:r>
                    <w:rPr>
                      <w:b/>
                      <w:bCs/>
                    </w:rPr>
                    <w:t xml:space="preserve">Day 7:</w:t>
                  </w:r>
                  <w:r>
                    <w:t xml:space="preserve"> </w:t>
                  </w:r>
                  <w:r>
                    <w:t xml:space="preserve">Hb stabilized (10.1 g/dL); persistent thrombocytopenia (64×10³/µL)</w:t>
                  </w:r>
                </w:p>
                <w:p>
                  <w:pPr>
                    <w:jc w:val="left"/>
                    <w:jc w:val="center"/>
                  </w:pPr>
                  <w:r>
                    <w:t xml:space="preserve">Day 10: Discharged in stable condition</w:t>
                  </w:r>
                </w:p>
                <w:p>
                  <w:pPr>
                    <w:jc w:val="left"/>
                    <w:jc w:val="center"/>
                  </w:pPr>
                  <w:r>
                    <w:rPr>
                      <w:b/>
                      <w:bCs/>
                    </w:rPr>
                    <w:t xml:space="preserve">Day 19:</w:t>
                  </w:r>
                  <w:r>
                    <w:t xml:space="preserve"> </w:t>
                  </w:r>
                  <w:r>
                    <w:t xml:space="preserve">Outpatient follow-up: fair general condition; sutures removed</w:t>
                  </w:r>
                </w:p>
              </w:tc>
            </w:tr>
          </w:tbl>
          <w:bookmarkEnd w:id="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Parameters/Timing</w:t>
                  </w:r>
                </w:p>
              </w:tc>
              <w:tc>
                <w:tcPr/>
                <w:p>
                  <w:pPr>
                    <w:pStyle w:val="Compact"/>
                    <w:jc w:val="center"/>
                  </w:pPr>
                  <w:r>
                    <w:t xml:space="preserve">December 16 (Day of admission)</w:t>
                  </w:r>
                </w:p>
              </w:tc>
              <w:tc>
                <w:tcPr/>
                <w:p>
                  <w:pPr>
                    <w:pStyle w:val="Compact"/>
                    <w:jc w:val="center"/>
                  </w:pPr>
                  <w:r>
                    <w:t xml:space="preserve">December 22</w:t>
                  </w:r>
                </w:p>
              </w:tc>
              <w:tc>
                <w:tcPr/>
                <w:p>
                  <w:pPr>
                    <w:pStyle w:val="Compact"/>
                    <w:jc w:val="center"/>
                  </w:pPr>
                  <w:r>
                    <w:t xml:space="preserve">December 28</w:t>
                  </w:r>
                </w:p>
              </w:tc>
              <w:tc>
                <w:tcPr/>
                <w:p>
                  <w:pPr>
                    <w:pStyle w:val="Compact"/>
                    <w:jc w:val="center"/>
                  </w:pPr>
                  <w:r>
                    <w:t xml:space="preserve">POD 1</w:t>
                  </w:r>
                </w:p>
              </w:tc>
              <w:tc>
                <w:tcPr/>
                <w:p>
                  <w:pPr>
                    <w:pStyle w:val="Compact"/>
                    <w:jc w:val="center"/>
                  </w:pPr>
                  <w:r>
                    <w:t xml:space="preserve">POD 2</w:t>
                  </w:r>
                </w:p>
              </w:tc>
              <w:tc>
                <w:tcPr/>
                <w:p>
                  <w:pPr>
                    <w:pStyle w:val="Compact"/>
                    <w:jc w:val="center"/>
                  </w:pPr>
                  <w:r>
                    <w:t xml:space="preserve">POD 4</w:t>
                  </w:r>
                </w:p>
              </w:tc>
              <w:tc>
                <w:tcPr/>
                <w:p>
                  <w:pPr>
                    <w:pStyle w:val="Compact"/>
                    <w:jc w:val="center"/>
                  </w:pPr>
                  <w:r>
                    <w:t xml:space="preserve">POD 6</w:t>
                  </w:r>
                </w:p>
              </w:tc>
              <w:tc>
                <w:tcPr/>
                <w:p>
                  <w:pPr>
                    <w:pStyle w:val="Compact"/>
                    <w:jc w:val="center"/>
                  </w:pPr>
                  <w:r>
                    <w:t xml:space="preserve">POD 7</w:t>
                  </w:r>
                </w:p>
              </w:tc>
              <w:tc>
                <w:tcPr/>
                <w:p>
                  <w:pPr>
                    <w:pStyle w:val="Compact"/>
                    <w:jc w:val="center"/>
                  </w:pPr>
                  <w:r>
                    <w:t xml:space="preserve">Reference range</w:t>
                  </w:r>
                </w:p>
              </w:tc>
            </w:tr>
            <w:tr>
              <w:tc>
                <w:tcPr/>
                <w:p>
                  <w:pPr>
                    <w:pStyle w:val="Compact"/>
                    <w:jc w:val="center"/>
                  </w:pPr>
                  <w:r>
                    <w:t xml:space="preserve">Hb (g/dL)</w:t>
                  </w:r>
                </w:p>
              </w:tc>
              <w:tc>
                <w:tcPr/>
                <w:p>
                  <w:pPr>
                    <w:pStyle w:val="Compact"/>
                    <w:jc w:val="center"/>
                  </w:pPr>
                  <w:r>
                    <w:t xml:space="preserve">7.0</w:t>
                  </w:r>
                </w:p>
              </w:tc>
              <w:tc>
                <w:tcPr/>
                <w:p>
                  <w:pPr>
                    <w:pStyle w:val="Compact"/>
                    <w:jc w:val="center"/>
                  </w:pPr>
                  <w:r>
                    <w:t xml:space="preserve">7.6</w:t>
                  </w:r>
                </w:p>
              </w:tc>
              <w:tc>
                <w:tcPr/>
                <w:p>
                  <w:pPr>
                    <w:pStyle w:val="Compact"/>
                    <w:jc w:val="center"/>
                  </w:pPr>
                  <w:r>
                    <w:t xml:space="preserve">10.2</w:t>
                  </w:r>
                </w:p>
              </w:tc>
              <w:tc>
                <w:tcPr/>
                <w:p>
                  <w:pPr>
                    <w:pStyle w:val="Compact"/>
                    <w:jc w:val="center"/>
                  </w:pPr>
                  <w:r>
                    <w:t xml:space="preserve">9.6</w:t>
                  </w:r>
                </w:p>
              </w:tc>
              <w:tc>
                <w:tcPr/>
                <w:p>
                  <w:pPr>
                    <w:pStyle w:val="Compact"/>
                    <w:jc w:val="center"/>
                  </w:pPr>
                  <w:r>
                    <w:t xml:space="preserve">7.6</w:t>
                  </w:r>
                </w:p>
              </w:tc>
              <w:tc>
                <w:tcPr/>
                <w:p>
                  <w:pPr>
                    <w:pStyle w:val="Compact"/>
                    <w:jc w:val="center"/>
                  </w:pPr>
                  <w:r>
                    <w:t xml:space="preserve">8.6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12.0-15.0</w:t>
                  </w:r>
                </w:p>
              </w:tc>
            </w:tr>
            <w:tr>
              <w:tc>
                <w:tcPr/>
                <w:p>
                  <w:pPr>
                    <w:pStyle w:val="Compact"/>
                    <w:jc w:val="center"/>
                  </w:pPr>
                  <w:r>
                    <w:t xml:space="preserve">HCT (%)</w:t>
                  </w:r>
                </w:p>
              </w:tc>
              <w:tc>
                <w:tcPr/>
                <w:p>
                  <w:pPr>
                    <w:pStyle w:val="Compact"/>
                    <w:jc w:val="center"/>
                  </w:pPr>
                  <w:r>
                    <w:t xml:space="preserve">23.0</w:t>
                  </w:r>
                </w:p>
              </w:tc>
              <w:tc>
                <w:tcPr/>
                <w:p>
                  <w:pPr>
                    <w:pStyle w:val="Compact"/>
                    <w:jc w:val="center"/>
                  </w:pPr>
                  <w:r>
                    <w:t xml:space="preserve">23.5</w:t>
                  </w:r>
                </w:p>
              </w:tc>
              <w:tc>
                <w:tcPr/>
                <w:p>
                  <w:pPr>
                    <w:pStyle w:val="Compact"/>
                    <w:jc w:val="center"/>
                  </w:pPr>
                  <w:r>
                    <w:t xml:space="preserve">33.1</w:t>
                  </w:r>
                </w:p>
              </w:tc>
              <w:tc>
                <w:tcPr/>
                <w:p>
                  <w:pPr>
                    <w:pStyle w:val="Compact"/>
                    <w:jc w:val="center"/>
                  </w:pPr>
                  <w:r>
                    <w:t xml:space="preserve">20.0</w:t>
                  </w:r>
                </w:p>
              </w:tc>
              <w:tc>
                <w:tcPr/>
                <w:p>
                  <w:pPr>
                    <w:pStyle w:val="Compact"/>
                    <w:jc w:val="center"/>
                  </w:pPr>
                  <w:r>
                    <w:t xml:space="preserve">21.8</w:t>
                  </w:r>
                </w:p>
              </w:tc>
              <w:tc>
                <w:tcPr/>
                <w:p>
                  <w:pPr>
                    <w:pStyle w:val="Compact"/>
                    <w:jc w:val="center"/>
                  </w:pPr>
                  <w:r>
                    <w:t xml:space="preserve">26.8</w:t>
                  </w:r>
                </w:p>
              </w:tc>
              <w:tc>
                <w:tcPr/>
                <w:p>
                  <w:pPr>
                    <w:pStyle w:val="Compact"/>
                    <w:jc w:val="center"/>
                  </w:pPr>
                  <w:r>
                    <w:t xml:space="preserve">30.8</w:t>
                  </w:r>
                </w:p>
              </w:tc>
              <w:tc>
                <w:tcPr/>
                <w:p>
                  <w:pPr>
                    <w:pStyle w:val="Compact"/>
                    <w:jc w:val="center"/>
                  </w:pPr>
                  <w:r>
                    <w:t xml:space="preserve">-</w:t>
                  </w:r>
                </w:p>
              </w:tc>
              <w:tc>
                <w:tcPr/>
                <w:p>
                  <w:pPr>
                    <w:pStyle w:val="Compact"/>
                    <w:jc w:val="center"/>
                  </w:pPr>
                  <w:r>
                    <w:t xml:space="preserve">36-46</w:t>
                  </w:r>
                </w:p>
              </w:tc>
            </w:tr>
            <w:tr>
              <w:tc>
                <w:tcPr/>
                <w:p>
                  <w:pPr>
                    <w:pStyle w:val="Compact"/>
                    <w:jc w:val="center"/>
                  </w:pPr>
                  <w:r>
                    <w:t xml:space="preserve">Platelets (/µL)</w:t>
                  </w:r>
                </w:p>
              </w:tc>
              <w:tc>
                <w:tcPr/>
                <w:p>
                  <w:pPr>
                    <w:pStyle w:val="Compact"/>
                    <w:jc w:val="center"/>
                  </w:pPr>
                  <w:r>
                    <w:t xml:space="preserve">128,000</w:t>
                  </w:r>
                </w:p>
              </w:tc>
              <w:tc>
                <w:tcPr/>
                <w:p>
                  <w:pPr>
                    <w:pStyle w:val="Compact"/>
                    <w:jc w:val="center"/>
                  </w:pPr>
                  <w:r>
                    <w:t xml:space="preserve">97,000</w:t>
                  </w:r>
                </w:p>
              </w:tc>
              <w:tc>
                <w:tcPr/>
                <w:p>
                  <w:pPr>
                    <w:pStyle w:val="Compact"/>
                    <w:jc w:val="center"/>
                  </w:pPr>
                  <w:r>
                    <w:t xml:space="preserve">129,000</w:t>
                  </w:r>
                </w:p>
              </w:tc>
              <w:tc>
                <w:tcPr/>
                <w:p>
                  <w:pPr>
                    <w:pStyle w:val="Compact"/>
                    <w:jc w:val="center"/>
                  </w:pPr>
                  <w:r>
                    <w:t xml:space="preserve">218,000</w:t>
                  </w:r>
                </w:p>
              </w:tc>
              <w:tc>
                <w:tcPr/>
                <w:p>
                  <w:pPr>
                    <w:pStyle w:val="Compact"/>
                    <w:jc w:val="center"/>
                  </w:pPr>
                  <w:r>
                    <w:t xml:space="preserve">104,000</w:t>
                  </w:r>
                </w:p>
              </w:tc>
              <w:tc>
                <w:tcPr/>
                <w:p>
                  <w:pPr>
                    <w:pStyle w:val="Compact"/>
                    <w:jc w:val="center"/>
                  </w:pPr>
                  <w:r>
                    <w:t xml:space="preserve">75,000</w:t>
                  </w:r>
                </w:p>
              </w:tc>
              <w:tc>
                <w:tcPr/>
                <w:p>
                  <w:pPr>
                    <w:pStyle w:val="Compact"/>
                    <w:jc w:val="center"/>
                  </w:pPr>
                  <w:r>
                    <w:t xml:space="preserve">64,000</w:t>
                  </w:r>
                </w:p>
              </w:tc>
              <w:tc>
                <w:tcPr/>
                <w:p>
                  <w:pPr>
                    <w:pStyle w:val="Compact"/>
                    <w:jc w:val="center"/>
                  </w:pPr>
                  <w:r>
                    <w:t xml:space="preserve">64,000</w:t>
                  </w:r>
                </w:p>
              </w:tc>
              <w:tc>
                <w:tcPr/>
                <w:p>
                  <w:pPr>
                    <w:pStyle w:val="Compact"/>
                    <w:jc w:val="center"/>
                  </w:pPr>
                  <w:r>
                    <w:t xml:space="preserve">150,000–410,000</w:t>
                  </w:r>
                </w:p>
              </w:tc>
            </w:tr>
            <w:tr>
              <w:tc>
                <w:tcPr/>
                <w:p>
                  <w:pPr>
                    <w:pStyle w:val="Compact"/>
                    <w:jc w:val="center"/>
                  </w:pPr>
                  <w:r>
                    <w:t xml:space="preserve">PT (seconds)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w:t>
                  </w:r>
                </w:p>
              </w:tc>
              <w:tc>
                <w:tcPr/>
                <w:p>
                  <w:pPr>
                    <w:pStyle w:val="Compact"/>
                    <w:jc w:val="center"/>
                  </w:pPr>
                  <w:r>
                    <w:t xml:space="preserve">40.70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17.7</w:t>
                  </w:r>
                </w:p>
              </w:tc>
              <w:tc>
                <w:tcPr/>
                <w:p>
                  <w:pPr>
                    <w:pStyle w:val="Compact"/>
                    <w:jc w:val="center"/>
                  </w:pPr>
                  <w:r>
                    <w:t xml:space="preserve">-</w:t>
                  </w:r>
                </w:p>
              </w:tc>
              <w:tc>
                <w:tcPr/>
                <w:p>
                  <w:pPr>
                    <w:pStyle w:val="Compact"/>
                    <w:jc w:val="center"/>
                  </w:pPr>
                  <w:r>
                    <w:t xml:space="preserve">11.7–15.3</w:t>
                  </w:r>
                </w:p>
              </w:tc>
            </w:tr>
            <w:tr>
              <w:tc>
                <w:tcPr/>
                <w:p>
                  <w:pPr>
                    <w:pStyle w:val="Compact"/>
                    <w:jc w:val="center"/>
                  </w:pPr>
                  <w:r>
                    <w:t xml:space="preserve">aPTT (seconds)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48.90</w:t>
                  </w:r>
                </w:p>
              </w:tc>
              <w:tc>
                <w:tcPr/>
                <w:p>
                  <w:pPr>
                    <w:pStyle w:val="Compact"/>
                    <w:jc w:val="center"/>
                  </w:pPr>
                  <w:r>
                    <w:t xml:space="preserve">-</w:t>
                  </w:r>
                </w:p>
              </w:tc>
              <w:tc>
                <w:tcPr/>
                <w:p>
                  <w:pPr>
                    <w:pStyle w:val="Compact"/>
                    <w:jc w:val="center"/>
                  </w:pPr>
                  <w:r>
                    <w:t xml:space="preserve">26-40</w:t>
                  </w:r>
                </w:p>
              </w:tc>
            </w:tr>
            <w:tr>
              <w:tc>
                <w:tcPr/>
                <w:p>
                  <w:pPr>
                    <w:pStyle w:val="Compact"/>
                    <w:jc w:val="center"/>
                  </w:pPr>
                  <w:r>
                    <w:t xml:space="preserve">Fibrinogen (g/L)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2.00-4.00</w:t>
                  </w:r>
                </w:p>
              </w:tc>
            </w:tr>
            <w:tr>
              <w:tc>
                <w:tcPr/>
                <w:p>
                  <w:pPr>
                    <w:pStyle w:val="Compact"/>
                    <w:jc w:val="center"/>
                  </w:pPr>
                  <w:r>
                    <w:t xml:space="preserve">D-dimer (µg/mL FEU)</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0-0.55</w:t>
                  </w:r>
                </w:p>
              </w:tc>
            </w:tr>
            <w:tr>
              <w:tc>
                <w:tcPr/>
                <w:p>
                  <w:pPr>
                    <w:pStyle w:val="Compact"/>
                    <w:jc w:val="center"/>
                  </w:pPr>
                  <w:r>
                    <w:t xml:space="preserve">Total bilirubin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1.8</w:t>
                  </w:r>
                </w:p>
              </w:tc>
              <w:tc>
                <w:tcPr/>
                <w:p>
                  <w:pPr>
                    <w:pStyle w:val="Compact"/>
                    <w:jc w:val="center"/>
                  </w:pPr>
                  <w:r>
                    <w:t xml:space="preserve">-</w:t>
                  </w:r>
                </w:p>
              </w:tc>
              <w:tc>
                <w:tcPr/>
                <w:p>
                  <w:pPr>
                    <w:pStyle w:val="Compact"/>
                    <w:jc w:val="center"/>
                  </w:pPr>
                  <w:r>
                    <w:t xml:space="preserve">1.4</w:t>
                  </w:r>
                </w:p>
              </w:tc>
              <w:tc>
                <w:tcPr/>
                <w:p>
                  <w:pPr>
                    <w:pStyle w:val="Compact"/>
                    <w:jc w:val="center"/>
                  </w:pPr>
                  <w:r>
                    <w:t xml:space="preserve">-</w:t>
                  </w:r>
                </w:p>
              </w:tc>
              <w:tc>
                <w:tcPr/>
                <w:p>
                  <w:pPr>
                    <w:pStyle w:val="Compact"/>
                    <w:jc w:val="center"/>
                  </w:pPr>
                  <w:r>
                    <w:t xml:space="preserve">1.8-3.5</w:t>
                  </w:r>
                </w:p>
              </w:tc>
            </w:tr>
            <w:tr>
              <w:tc>
                <w:tcPr/>
                <w:p>
                  <w:pPr>
                    <w:pStyle w:val="Compact"/>
                    <w:jc w:val="center"/>
                  </w:pPr>
                  <w:r>
                    <w:t xml:space="preserve">ALP (IU/L)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135</w:t>
                  </w:r>
                </w:p>
              </w:tc>
              <w:tc>
                <w:tcPr/>
                <w:p>
                  <w:pPr>
                    <w:pStyle w:val="Compact"/>
                    <w:jc w:val="center"/>
                  </w:pPr>
                  <w:r>
                    <w:t xml:space="preserve">115</w:t>
                  </w:r>
                </w:p>
              </w:tc>
              <w:tc>
                <w:tcPr/>
                <w:p>
                  <w:pPr>
                    <w:pStyle w:val="Compact"/>
                    <w:jc w:val="center"/>
                  </w:pPr>
                  <w:r>
                    <w:t xml:space="preserve">-</w:t>
                  </w:r>
                </w:p>
              </w:tc>
              <w:tc>
                <w:tcPr/>
                <w:p>
                  <w:pPr>
                    <w:pStyle w:val="Compact"/>
                    <w:jc w:val="center"/>
                  </w:pPr>
                  <w:r>
                    <w:t xml:space="preserve">108</w:t>
                  </w:r>
                </w:p>
              </w:tc>
              <w:tc>
                <w:tcPr/>
                <w:p>
                  <w:pPr>
                    <w:pStyle w:val="Compact"/>
                    <w:jc w:val="center"/>
                  </w:pPr>
                  <w:r>
                    <w:t xml:space="preserve">-</w:t>
                  </w:r>
                </w:p>
              </w:tc>
              <w:tc>
                <w:tcPr/>
                <w:p>
                  <w:pPr>
                    <w:pStyle w:val="Compact"/>
                    <w:jc w:val="center"/>
                  </w:pPr>
                  <w:r>
                    <w:t xml:space="preserve">34–104</w:t>
                  </w:r>
                </w:p>
              </w:tc>
            </w:tr>
            <w:tr>
              <w:tc>
                <w:tcPr/>
                <w:p>
                  <w:pPr>
                    <w:pStyle w:val="Compact"/>
                    <w:jc w:val="center"/>
                  </w:pPr>
                  <w:r>
                    <w:t xml:space="preserve">LDH (IU/L)</w:t>
                  </w:r>
                </w:p>
              </w:tc>
              <w:tc>
                <w:tcPr/>
                <w:p>
                  <w:pPr>
                    <w:pStyle w:val="Compact"/>
                    <w:jc w:val="center"/>
                  </w:pPr>
                  <w:r>
                    <w:t xml:space="preserve">-</w:t>
                  </w:r>
                </w:p>
              </w:tc>
              <w:tc>
                <w:tcPr/>
                <w:p>
                  <w:pPr>
                    <w:pStyle w:val="Compact"/>
                    <w:jc w:val="center"/>
                  </w:pPr>
                  <w:r>
                    <w:t xml:space="preserve">454</w:t>
                  </w:r>
                </w:p>
              </w:tc>
              <w:tc>
                <w:tcPr/>
                <w:p>
                  <w:pPr>
                    <w:pStyle w:val="Compact"/>
                    <w:jc w:val="center"/>
                  </w:pPr>
                  <w:r>
                    <w:t xml:space="preserve">-</w:t>
                  </w:r>
                </w:p>
              </w:tc>
              <w:tc>
                <w:tcPr/>
                <w:p>
                  <w:pPr>
                    <w:pStyle w:val="Compact"/>
                    <w:jc w:val="center"/>
                  </w:pPr>
                  <w:r>
                    <w:t xml:space="preserve">424</w:t>
                  </w:r>
                </w:p>
              </w:tc>
              <w:tc>
                <w:tcPr/>
                <w:p>
                  <w:pPr>
                    <w:pStyle w:val="Compact"/>
                    <w:jc w:val="center"/>
                  </w:pPr>
                  <w:r>
                    <w:t xml:space="preserve">357</w:t>
                  </w:r>
                </w:p>
              </w:tc>
              <w:tc>
                <w:tcPr/>
                <w:p>
                  <w:pPr>
                    <w:pStyle w:val="Compact"/>
                    <w:jc w:val="center"/>
                  </w:pPr>
                  <w:r>
                    <w:t xml:space="preserve">-</w:t>
                  </w:r>
                </w:p>
              </w:tc>
              <w:tc>
                <w:tcPr/>
                <w:p>
                  <w:pPr>
                    <w:pStyle w:val="Compact"/>
                    <w:jc w:val="center"/>
                  </w:pPr>
                  <w:r>
                    <w:t xml:space="preserve">449</w:t>
                  </w:r>
                </w:p>
              </w:tc>
              <w:tc>
                <w:tcPr/>
                <w:p>
                  <w:pPr>
                    <w:pStyle w:val="Compact"/>
                    <w:jc w:val="center"/>
                  </w:pPr>
                  <w:r>
                    <w:t xml:space="preserve">-</w:t>
                  </w:r>
                </w:p>
              </w:tc>
              <w:tc>
                <w:tcPr/>
                <w:p>
                  <w:pPr>
                    <w:pStyle w:val="Compact"/>
                    <w:jc w:val="center"/>
                  </w:pPr>
                  <w:r>
                    <w:t xml:space="preserve">140–271</w:t>
                  </w:r>
                </w:p>
              </w:tc>
            </w:tr>
            <w:tr>
              <w:tc>
                <w:tcPr/>
                <w:p>
                  <w:pPr>
                    <w:pStyle w:val="Compact"/>
                    <w:jc w:val="center"/>
                  </w:pPr>
                  <w:r>
                    <w:t xml:space="preserve">BUN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Serum creatinine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0.6–1.2</w:t>
                  </w:r>
                </w:p>
              </w:tc>
            </w:tr>
          </w:tbl>
          <w:bookmarkEnd w:id="27"/>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28"/>
    <w:bookmarkStart w:id="30" w:name="review-of-literature"/>
    <w:p>
      <w:pPr>
        <w:pStyle w:val="Heading1"/>
      </w:pPr>
      <w:r>
        <w:t xml:space="preserve">Review of literature</w:t>
      </w:r>
    </w:p>
    <w:p>
      <w:pPr>
        <w:pStyle w:val="FirstParagraph"/>
      </w:pPr>
      <w:r>
        <w:t xml:space="preserve">We searched MEDLINE, Embase, and Scopus. Only three cases of KTS complicated with KMS in pregnancy have been reported, reflecting the rarity of this condition. KTS was diagnosed prior to pregnancy in two cases, while it was misdiagnosed as acromegaly and only identified during the last trimester in the third</w:t>
      </w:r>
      <w:r>
        <w:t xml:space="preserve"> </w:t>
      </w:r>
      <w:r>
        <w:t xml:space="preserve">[9]</w:t>
      </w:r>
      <w:r>
        <w:t xml:space="preserve">. All cases had the typical clinical findings of KTS, including multiple varicosities at different sites, hypertrophy, and hemangiomas, with one case also showing port-wine stains</w:t>
      </w:r>
      <w:r>
        <w:t xml:space="preserve"> </w:t>
      </w:r>
      <w:r>
        <w:t xml:space="preserve">[9]</w:t>
      </w:r>
      <w:r>
        <w:t xml:space="preserve">. Postpartum laboratory findings failed to improve despite treatment suggesting refractory coagulopathy which is consistent with KMS. All cases involved vulval varicosities that necessitated cesarean delivery, with profuse bleeding occurring either during or after the operation and requiring multiple transfusions. All were managed with a multidisciplinary approach and received anticoagulants and transfusions, with two requiring massive transfusion</w:t>
      </w:r>
      <w:r>
        <w:t xml:space="preserve">[7,9]</w:t>
      </w:r>
      <w:r>
        <w:t xml:space="preserve">, other lines of treatment included corticosteroids and antifibrinolytics</w:t>
      </w:r>
      <w:r>
        <w:t xml:space="preserve">[7,8]</w:t>
      </w:r>
      <w:r>
        <w:t xml:space="preserve">. One patient required postpartum hysterectomy due to life-threatening hemorrhage, along with other severe complications including DIC, sepsis, peritonitis, and hemoperitoneum requiring emergency laparotomy</w:t>
      </w:r>
      <w:r>
        <w:t xml:space="preserve"> </w:t>
      </w:r>
      <w:r>
        <w:t xml:space="preserve">[9]</w:t>
      </w:r>
      <w:r>
        <w:t xml:space="preserve">. All required prolonged post op hospital admission. None of the neonates showed evidence of KTS. 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9" w:name="tbl-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b/>
                      <w:bCs/>
                    </w:rPr>
                    <w:t xml:space="preserve">Author (Year)</w:t>
                  </w:r>
                </w:p>
              </w:tc>
              <w:tc>
                <w:tcPr/>
                <w:p>
                  <w:pPr>
                    <w:pStyle w:val="Compact"/>
                    <w:jc w:val="center"/>
                  </w:pPr>
                  <w:r>
                    <w:rPr>
                      <w:b/>
                      <w:bCs/>
                    </w:rPr>
                    <w:t xml:space="preserve">Presentation</w:t>
                  </w:r>
                </w:p>
              </w:tc>
              <w:tc>
                <w:tcPr/>
                <w:p>
                  <w:pPr>
                    <w:pStyle w:val="Compact"/>
                    <w:jc w:val="center"/>
                  </w:pPr>
                  <w:r>
                    <w:rPr>
                      <w:b/>
                      <w:bCs/>
                    </w:rPr>
                    <w:t xml:space="preserve">Key Clinical Features</w:t>
                  </w:r>
                </w:p>
              </w:tc>
              <w:tc>
                <w:tcPr/>
                <w:p>
                  <w:pPr>
                    <w:pStyle w:val="Compact"/>
                    <w:jc w:val="center"/>
                  </w:pPr>
                  <w:r>
                    <w:rPr>
                      <w:b/>
                      <w:bCs/>
                    </w:rPr>
                    <w:t xml:space="preserve">KMS / Labs</w:t>
                  </w:r>
                </w:p>
              </w:tc>
              <w:tc>
                <w:tcPr/>
                <w:p>
                  <w:pPr>
                    <w:pStyle w:val="Compact"/>
                    <w:jc w:val="center"/>
                  </w:pPr>
                  <w:r>
                    <w:rPr>
                      <w:b/>
                      <w:bCs/>
                    </w:rPr>
                    <w:t xml:space="preserve">Management</w:t>
                  </w:r>
                </w:p>
              </w:tc>
              <w:tc>
                <w:tcPr/>
                <w:p>
                  <w:pPr>
                    <w:pStyle w:val="Compact"/>
                    <w:jc w:val="center"/>
                  </w:pPr>
                  <w:r>
                    <w:rPr>
                      <w:b/>
                      <w:bCs/>
                    </w:rPr>
                    <w:t xml:space="preserve">Outcome</w:t>
                  </w:r>
                </w:p>
              </w:tc>
            </w:tr>
            <w:tr>
              <w:tc>
                <w:tcPr/>
                <w:p>
                  <w:pPr>
                    <w:pStyle w:val="Compact"/>
                    <w:jc w:val="center"/>
                  </w:pPr>
                  <w:r>
                    <w:rPr>
                      <w:b/>
                      <w:bCs/>
                    </w:rPr>
                    <w:t xml:space="preserve">Neubert (1995)</w:t>
                  </w:r>
                </w:p>
              </w:tc>
              <w:tc>
                <w:tcPr/>
                <w:p>
                  <w:pPr>
                    <w:pStyle w:val="Compact"/>
                    <w:jc w:val="center"/>
                  </w:pPr>
                  <w:r>
                    <w:t xml:space="preserve">22 y, primigravida, 37 wks (known KTS)</w:t>
                  </w:r>
                </w:p>
              </w:tc>
              <w:tc>
                <w:tcPr/>
                <w:p>
                  <w:pPr>
                    <w:pStyle w:val="Compact"/>
                    <w:jc w:val="center"/>
                  </w:pPr>
                  <w:r>
                    <w:t xml:space="preserve">Hemangiomas, limb hypertrophy, massive vulvovaginal varicosities</w:t>
                  </w:r>
                </w:p>
              </w:tc>
              <w:tc>
                <w:tcPr/>
                <w:p>
                  <w:pPr>
                    <w:pStyle w:val="Compact"/>
                    <w:jc w:val="center"/>
                  </w:pPr>
                  <w:r>
                    <w:t xml:space="preserve">Post-op KMS: thrombocytopenia, ↓ fibrinogen, ↑ PT/PTT, ↑ fibrin split products</w:t>
                  </w:r>
                </w:p>
              </w:tc>
              <w:tc>
                <w:tcPr/>
                <w:p>
                  <w:pPr>
                    <w:pStyle w:val="Compact"/>
                    <w:jc w:val="center"/>
                  </w:pPr>
                  <w:r>
                    <w:t xml:space="preserve">CS at 39 wks; hematoma evacuation; ICU; transfusion; heparin + aminocaproic acid</w:t>
                  </w:r>
                </w:p>
              </w:tc>
              <w:tc>
                <w:tcPr/>
                <w:p>
                  <w:pPr>
                    <w:pStyle w:val="Compact"/>
                    <w:jc w:val="center"/>
                  </w:pPr>
                  <w:r>
                    <w:t xml:space="preserve">Discharged day 20; healthy neonate</w:t>
                  </w:r>
                </w:p>
              </w:tc>
            </w:tr>
            <w:tr>
              <w:tc>
                <w:tcPr/>
                <w:p>
                  <w:pPr>
                    <w:pStyle w:val="Compact"/>
                    <w:jc w:val="center"/>
                  </w:pPr>
                  <w:r>
                    <w:rPr>
                      <w:b/>
                      <w:bCs/>
                    </w:rPr>
                    <w:t xml:space="preserve">Kanmani (2021)</w:t>
                  </w:r>
                </w:p>
              </w:tc>
              <w:tc>
                <w:tcPr/>
                <w:p>
                  <w:pPr>
                    <w:pStyle w:val="Compact"/>
                    <w:jc w:val="center"/>
                  </w:pPr>
                  <w:r>
                    <w:t xml:space="preserve">24 y, primigravida, 29 wks (known KTS), bleeding gums</w:t>
                  </w:r>
                </w:p>
              </w:tc>
              <w:tc>
                <w:tcPr/>
                <w:p>
                  <w:pPr>
                    <w:pStyle w:val="Compact"/>
                    <w:jc w:val="center"/>
                  </w:pPr>
                  <w:r>
                    <w:t xml:space="preserve">Limb hypertrophy, varicosities (vulval, lower limb)</w:t>
                  </w:r>
                </w:p>
              </w:tc>
              <w:tc>
                <w:tcPr/>
                <w:p>
                  <w:pPr>
                    <w:pStyle w:val="Compact"/>
                    <w:jc w:val="center"/>
                  </w:pPr>
                  <w:r>
                    <w:t xml:space="preserve">Antenatal KMS: severe thrombocytopenia (limited labs reported)</w:t>
                  </w:r>
                </w:p>
              </w:tc>
              <w:tc>
                <w:tcPr/>
                <w:p>
                  <w:pPr>
                    <w:pStyle w:val="Compact"/>
                    <w:jc w:val="center"/>
                  </w:pPr>
                  <w:r>
                    <w:t xml:space="preserve">Steroids + platelet transfusion; CS at 35 wks; post-op anticoagulation + steroids</w:t>
                  </w:r>
                </w:p>
              </w:tc>
              <w:tc>
                <w:tcPr/>
                <w:p>
                  <w:pPr>
                    <w:pStyle w:val="Compact"/>
                    <w:jc w:val="center"/>
                  </w:pPr>
                  <w:r>
                    <w:t xml:space="preserve">Discharged day 20; healthy neonate</w:t>
                  </w:r>
                </w:p>
              </w:tc>
            </w:tr>
            <w:tr>
              <w:tc>
                <w:tcPr/>
                <w:p>
                  <w:pPr>
                    <w:pStyle w:val="Compact"/>
                    <w:jc w:val="center"/>
                  </w:pPr>
                  <w:r>
                    <w:rPr>
                      <w:b/>
                      <w:bCs/>
                    </w:rPr>
                    <w:t xml:space="preserve">Zhang (2019)</w:t>
                  </w:r>
                </w:p>
              </w:tc>
              <w:tc>
                <w:tcPr/>
                <w:p>
                  <w:pPr>
                    <w:pStyle w:val="Compact"/>
                    <w:jc w:val="center"/>
                  </w:pPr>
                  <w:r>
                    <w:t xml:space="preserve">26 y, KTS diagnosed in 3rd trimester; severe postpartum bleeding</w:t>
                  </w:r>
                </w:p>
              </w:tc>
              <w:tc>
                <w:tcPr/>
                <w:p>
                  <w:pPr>
                    <w:pStyle w:val="Compact"/>
                    <w:jc w:val="center"/>
                  </w:pPr>
                  <w:r>
                    <w:t xml:space="preserve">Hemodynamic instability, ecchymoses, massive limb hypertrophy, varicosities</w:t>
                  </w:r>
                </w:p>
              </w:tc>
              <w:tc>
                <w:tcPr/>
                <w:p>
                  <w:pPr>
                    <w:pStyle w:val="Compact"/>
                    <w:jc w:val="center"/>
                  </w:pPr>
                  <w:r>
                    <w:t xml:space="preserve">Post-op KMS: thrombocytopenia, ↓ fibrinogen, ↑ PT/APTT, ↑ FDP, ↑ D-dimer</w:t>
                  </w:r>
                </w:p>
              </w:tc>
              <w:tc>
                <w:tcPr/>
                <w:p>
                  <w:pPr>
                    <w:pStyle w:val="Compact"/>
                    <w:jc w:val="center"/>
                  </w:pPr>
                  <w:r>
                    <w:t xml:space="preserve">CS at 39 wks; hysterectomy; embolization; laparotomy; anticoagulation</w:t>
                  </w:r>
                </w:p>
              </w:tc>
              <w:tc>
                <w:tcPr/>
                <w:p>
                  <w:pPr>
                    <w:pStyle w:val="Compact"/>
                    <w:jc w:val="center"/>
                  </w:pPr>
                  <w:r>
                    <w:t xml:space="preserve">Discharged day 42; healthy neonate</w:t>
                  </w:r>
                </w:p>
              </w:tc>
            </w:tr>
          </w:tbl>
          <w:bookmarkEnd w:id="29"/>
          <w:p/>
        </w:tc>
      </w:tr>
    </w:tbl>
    <w:bookmarkEnd w:id="30"/>
    <w:bookmarkStart w:id="31"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[7–9]</w:t>
      </w:r>
    </w:p>
    <w:p>
      <w:pPr>
        <w:pStyle w:val="BodyText"/>
      </w:pPr>
      <w:r>
        <w:t xml:space="preserve">Klippel-Trenaunay Syndrome (KTS), also referred to as capillary-lymphatic-venous malformation (CLVM),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[10]</w:t>
      </w:r>
    </w:p>
    <w:p>
      <w:pPr>
        <w:pStyle w:val="BodyText"/>
      </w:pPr>
      <w:r>
        <w:t xml:space="preserve">Its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as well as back, pelvis, and bladder as in our case. Capillary malformations are the most common presentation (98%), followed by varicosities or venous malformations (72%), and limb hypertrophy (67%)</w:t>
      </w:r>
      <w:r>
        <w:t xml:space="preserve"> </w:t>
      </w:r>
      <w:r>
        <w:t xml:space="preserve">[11]</w:t>
      </w:r>
      <w:r>
        <w:t xml:space="preserve">.</w:t>
      </w:r>
    </w:p>
    <w:p>
      <w:pPr>
        <w:pStyle w:val="BodyText"/>
      </w:pPr>
      <w:r>
        <w:t xml:space="preserve">Morbidity in KTS primarily arises from an increased risk of venous insufficiency, thromboembolism, and hemorrhage. Pregnancy may further aggravate these risks, although evidence regarding pregnancy outcomes and optimal management remains limited. A cross-sectional study of sixty adult women with KTS reported increased risks of pregnancy-associated deep vein thrombosis, pulmonary embolism, and severe postpartum hemorrhage compared with the general population, with nearly half the patients also experiencing exacerbation of KTS-related symptoms</w:t>
      </w:r>
      <w:r>
        <w:t xml:space="preserve">[12]</w:t>
      </w:r>
      <w:r>
        <w:t xml:space="preserve">. In contrast, another study comparing pregnant women with KTS versus nulligravid women with KTS found no difference in bleeding or thromboembolic risk, although a limitation was the possibility of women with more severe KTS being discouraged from pregnancy</w:t>
      </w:r>
      <w:r>
        <w:t xml:space="preserve"> </w:t>
      </w:r>
      <w:r>
        <w:t xml:space="preserve">[13]</w:t>
      </w:r>
      <w:r>
        <w:t xml:space="preserve">.</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[14]</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[14,15]</w:t>
      </w:r>
    </w:p>
    <w:p>
      <w:pPr>
        <w:pStyle w:val="BodyText"/>
      </w:pPr>
      <w:r>
        <w:t xml:space="preserve">Kasabach-Merritt Syndrome (KMS), a rare but life-threatening complication, is characterized by thrombocytopenia, microangiopathic hemolytic anemia, and consumptive coagulopathy in the presence of a vascular tumor</w:t>
      </w:r>
      <w:r>
        <w:t xml:space="preserve"> </w:t>
      </w:r>
      <w:r>
        <w:t xml:space="preserve">[16]</w:t>
      </w:r>
      <w:r>
        <w:t xml:space="preserve">. Patients commonly present with persistent bleeding and thrombocytopenia refractory to blood products. Our patient developed post-op hematoma and hemoperitoneum which was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 and 4500mL of blood through vaginal bleeding on day 10 postpartum, necessitating a hysterectomy and abdominal gauze packing.</w:t>
      </w:r>
      <w:r>
        <w:t xml:space="preserve">[9]</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[15]</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during pregnancy period given the elevated risk of VTE</w:t>
      </w:r>
      <w:r>
        <w:t xml:space="preserve"> </w:t>
      </w:r>
      <w:r>
        <w:t xml:space="preserve">[20]</w:t>
      </w:r>
      <w:r>
        <w:t xml:space="preserve">, with regular coagulopathy monitoring and Imaging. Postpartum management may involve anticoagulation, platelet transfusion, cryoprecipitate, fresh frozen plasma and antifibrinolytic agents such as TXA. Postpartum follow up is essential as KMS can develop or worsen after delivery and they may require large volumes of blood products to manage the ongoing coagulopathy, but typically remain refractory, showing minimal to no improvement.</w:t>
      </w:r>
      <w:r>
        <w:t xml:space="preserve"> </w:t>
      </w:r>
      <w:r>
        <w:t xml:space="preserve">[12]</w:t>
      </w:r>
    </w:p>
    <w:bookmarkEnd w:id="31"/>
    <w:bookmarkStart w:id="32" w:name="conclusion"/>
    <w:p>
      <w:pPr>
        <w:pStyle w:val="Heading1"/>
      </w:pPr>
      <w:r>
        <w:t xml:space="preserve">Conclusion</w:t>
      </w:r>
    </w:p>
    <w:p>
      <w:pPr>
        <w:pStyle w:val="FirstParagraph"/>
      </w:pPr>
      <w:r>
        <w:t xml:space="preserve">Pregnancy in women with Klippel–Trenaunay syndrome complicated by Kasabach–Merritt syndrome is extremely rare and posing significant diagnostic challenges. Early suspicion and diagnosis with intensive antenatal surveillance and multidisciplinary management are crucial to navigate the complex balance between thrombosis and bleeding and to optimize maternal and perinatal outcomes in such high risk cases.</w:t>
      </w:r>
    </w:p>
    <w:bookmarkEnd w:id="32"/>
    <w:bookmarkStart w:id="33"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33"/>
    <w:bookmarkStart w:id="41" w:name="declarations"/>
    <w:p>
      <w:pPr>
        <w:pStyle w:val="Heading1"/>
      </w:pPr>
      <w:r>
        <w:t xml:space="preserve">Declarations</w:t>
      </w:r>
    </w:p>
    <w:bookmarkStart w:id="34" w:name="Xd182db0490b2de20bd2b4e4cc8698599182035f"/>
    <w:p>
      <w:pPr>
        <w:pStyle w:val="Heading2"/>
      </w:pPr>
      <w:r>
        <w:t xml:space="preserve">Ethics approval and consent to participate</w:t>
      </w:r>
    </w:p>
    <w:p>
      <w:pPr>
        <w:pStyle w:val="FirstParagraph"/>
      </w:pPr>
      <w:r>
        <w:t xml:space="preserve">Not applicable.</w:t>
      </w:r>
    </w:p>
    <w:bookmarkEnd w:id="34"/>
    <w:bookmarkStart w:id="35" w:name="consent-for-publication"/>
    <w:p>
      <w:pPr>
        <w:pStyle w:val="Heading2"/>
      </w:pPr>
      <w:r>
        <w:t xml:space="preserve">Consent for publication</w:t>
      </w:r>
    </w:p>
    <w:p>
      <w:pPr>
        <w:pStyle w:val="FirstParagraph"/>
      </w:pPr>
      <w:r>
        <w:t xml:space="preserve">A written consent for publication has been obtained from the patient.</w:t>
      </w:r>
    </w:p>
    <w:bookmarkEnd w:id="35"/>
    <w:bookmarkStart w:id="36"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6"/>
    <w:bookmarkStart w:id="37" w:name="competing-interests"/>
    <w:p>
      <w:pPr>
        <w:pStyle w:val="Heading2"/>
      </w:pPr>
      <w:r>
        <w:t xml:space="preserve">Competing interests</w:t>
      </w:r>
    </w:p>
    <w:p>
      <w:pPr>
        <w:pStyle w:val="FirstParagraph"/>
      </w:pPr>
      <w:r>
        <w:t xml:space="preserve">The authors declare that they have no competing interests.</w:t>
      </w:r>
    </w:p>
    <w:bookmarkEnd w:id="37"/>
    <w:bookmarkStart w:id="3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8"/>
    <w:bookmarkStart w:id="39"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9"/>
    <w:bookmarkStart w:id="40"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40"/>
    <w:bookmarkEnd w:id="41"/>
    <w:bookmarkStart w:id="82" w:name="references"/>
    <w:p>
      <w:pPr>
        <w:pStyle w:val="Heading1"/>
      </w:pPr>
      <w:r>
        <w:t xml:space="preserve">References</w:t>
      </w:r>
    </w:p>
    <w:bookmarkStart w:id="81" w:name="refs"/>
    <w:bookmarkStart w:id="43"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42">
        <w:r>
          <w:rPr>
            <w:rStyle w:val="Hyperlink"/>
          </w:rPr>
          <w:t xml:space="preserve">https://www.issva.org/UserFiles/file/ISSVA-Classification-2018.pdf</w:t>
        </w:r>
      </w:hyperlink>
      <w:r>
        <w:t xml:space="preserve">; 2018.</w:t>
      </w:r>
    </w:p>
    <w:bookmarkEnd w:id="43"/>
    <w:bookmarkStart w:id="45" w:name="ref-Pavone2023"/>
    <w:p>
      <w:pPr>
        <w:pStyle w:val="Bibliography"/>
      </w:pPr>
      <w:r>
        <w:t xml:space="preserve">2. Pavone P, Marino L, Cacciaguerra G, Di Nora A, Parano E, Musumeci G, et al.</w:t>
      </w:r>
      <w:r>
        <w:t xml:space="preserve"> </w:t>
      </w:r>
      <w:hyperlink r:id="rId44">
        <w:r>
          <w:rPr>
            <w:rStyle w:val="Hyperlink"/>
          </w:rPr>
          <w:t xml:space="preserve">Klippel-trenaunay syndrome, segmental/focal overgrowth malformations: A review</w:t>
        </w:r>
      </w:hyperlink>
      <w:r>
        <w:t xml:space="preserve">. Children (Basel). 2023;10:1421.</w:t>
      </w:r>
    </w:p>
    <w:bookmarkEnd w:id="45"/>
    <w:bookmarkStart w:id="47" w:name="ref-mckusick1963"/>
    <w:p>
      <w:pPr>
        <w:pStyle w:val="Bibliography"/>
      </w:pPr>
      <w:r>
        <w:t xml:space="preserve">3. McKusick VA. Frederick Parkes Weber</w:t>
      </w:r>
      <w:r>
        <w:t xml:space="preserve">1863-1962. JAMA [Internet]. 1963;183. Available from:</w:t>
      </w:r>
      <w:r>
        <w:t xml:space="preserve"> </w:t>
      </w:r>
      <w:hyperlink r:id="rId46">
        <w:r>
          <w:rPr>
            <w:rStyle w:val="Hyperlink"/>
          </w:rPr>
          <w:t xml:space="preserve">http://dx.doi.org/10.1001/jama.1963.63700010018015</w:t>
        </w:r>
      </w:hyperlink>
    </w:p>
    <w:bookmarkEnd w:id="47"/>
    <w:bookmarkStart w:id="49" w:name="ref-sikova1999"/>
    <w:p>
      <w:pPr>
        <w:pStyle w:val="Bibliography"/>
      </w:pPr>
      <w:r>
        <w:t xml:space="preserve">4. Sikova DVD, Pavlova LjT, Laskoska MTV, Nikolovska ST, Biljanovska NC. Naevus varicosus osteohypertrophicus. Springer US; 1999. p. 535–40. Available from:</w:t>
      </w:r>
      <w:r>
        <w:t xml:space="preserve"> </w:t>
      </w:r>
      <w:hyperlink r:id="rId48">
        <w:r>
          <w:rPr>
            <w:rStyle w:val="Hyperlink"/>
          </w:rPr>
          <w:t xml:space="preserve">http://dx.doi.org/10.1007/978-1-4615-4857-7_80</w:t>
        </w:r>
      </w:hyperlink>
    </w:p>
    <w:bookmarkEnd w:id="49"/>
    <w:bookmarkStart w:id="51" w:name="ref-Blei2024"/>
    <w:p>
      <w:pPr>
        <w:pStyle w:val="Bibliography"/>
      </w:pPr>
      <w:r>
        <w:t xml:space="preserve">5. Blei F.</w:t>
      </w:r>
      <w:r>
        <w:t xml:space="preserve"> </w:t>
      </w:r>
      <w:r>
        <w:t xml:space="preserve">Klippel-Trenaunay Syndrome: Clinical Manifestations, Diagnosis, and Management</w:t>
      </w:r>
      <w:r>
        <w:t xml:space="preserve">. UpToDate.</w:t>
      </w:r>
      <w:r>
        <w:t xml:space="preserve"> </w:t>
      </w:r>
      <w:hyperlink r:id="rId50">
        <w:r>
          <w:rPr>
            <w:rStyle w:val="Hyperlink"/>
          </w:rPr>
          <w:t xml:space="preserve">https://www.uptodate.com/contents/klippel-trenaunay-syndrome-clinical-manifestations-diagnosis-and-management</w:t>
        </w:r>
      </w:hyperlink>
      <w:r>
        <w:t xml:space="preserve">; 2024.</w:t>
      </w:r>
    </w:p>
    <w:bookmarkEnd w:id="51"/>
    <w:bookmarkStart w:id="53" w:name="ref-Tian2026"/>
    <w:p>
      <w:pPr>
        <w:pStyle w:val="Bibliography"/>
      </w:pPr>
      <w:r>
        <w:t xml:space="preserve">6. Tian Y, Yuan Y, Wei L, Xu Z, Li L, Li L.</w:t>
      </w:r>
      <w:r>
        <w:t xml:space="preserve"> </w:t>
      </w:r>
      <w:hyperlink r:id="rId52">
        <w:r>
          <w:rPr>
            <w:rStyle w:val="Hyperlink"/>
          </w:rPr>
          <w:t xml:space="preserve">Kaposiform hemangioendothelioma: Diagnosis and treatment</w:t>
        </w:r>
      </w:hyperlink>
      <w:r>
        <w:t xml:space="preserve">. Pediatric Investigation. 2026;</w:t>
      </w:r>
    </w:p>
    <w:bookmarkEnd w:id="53"/>
    <w:bookmarkStart w:id="55" w:name="ref-Neubert1995"/>
    <w:p>
      <w:pPr>
        <w:pStyle w:val="Bibliography"/>
      </w:pPr>
      <w:r>
        <w:t xml:space="preserve">7. Neubert GA, Golden MA, Rose NC.</w:t>
      </w:r>
      <w:r>
        <w:t xml:space="preserve"> </w:t>
      </w:r>
      <w:hyperlink r:id="rId54">
        <w:r>
          <w:rPr>
            <w:rStyle w:val="Hyperlink"/>
          </w:rPr>
          <w:t xml:space="preserve">Kasabach-merritt coagulopathy complicating klippel-trenaunay-weber syndrome in pregnancy</w:t>
        </w:r>
      </w:hyperlink>
      <w:r>
        <w:t xml:space="preserve">. Obstetrics &amp; Gynecology. 1995;85:831–3.</w:t>
      </w:r>
    </w:p>
    <w:bookmarkEnd w:id="55"/>
    <w:bookmarkStart w:id="57" w:name="ref-Kanmani2021"/>
    <w:p>
      <w:pPr>
        <w:pStyle w:val="Bibliography"/>
      </w:pPr>
      <w:r>
        <w:t xml:space="preserve">8. Kanmani K, Meena M, Narmadha D, A. GV.</w:t>
      </w:r>
      <w:r>
        <w:t xml:space="preserve"> </w:t>
      </w:r>
      <w:hyperlink r:id="rId56">
        <w:r>
          <w:rPr>
            <w:rStyle w:val="Hyperlink"/>
          </w:rPr>
          <w:t xml:space="preserve">Klippel trenaunay syndrome–an obstetric challenge</w:t>
        </w:r>
      </w:hyperlink>
      <w:r>
        <w:t xml:space="preserve">. International Journal of Reproduction, Contraception, Obstetrics and Gynecology. 2021;10:2081–4.</w:t>
      </w:r>
    </w:p>
    <w:bookmarkEnd w:id="57"/>
    <w:bookmarkStart w:id="59" w:name="ref-zhang2019"/>
    <w:p>
      <w:pPr>
        <w:pStyle w:val="Bibliography"/>
      </w:pPr>
      <w:r>
        <w:t xml:space="preserve">9. Zhang J, Wang K, Mei J. Late puerperal hemorrhage of a patient with Klippel</w:t>
      </w:r>
      <w:r>
        <w:t xml:space="preserve">Trenaunay syndrome. Medicine [Internet]. 2019;98:e18378. Available from:</w:t>
      </w:r>
      <w:r>
        <w:t xml:space="preserve"> </w:t>
      </w:r>
      <w:hyperlink r:id="rId58">
        <w:r>
          <w:rPr>
            <w:rStyle w:val="Hyperlink"/>
          </w:rPr>
          <w:t xml:space="preserve">http://dx.doi.org/10.1097/MD.0000000000018378</w:t>
        </w:r>
      </w:hyperlink>
    </w:p>
    <w:bookmarkEnd w:id="59"/>
    <w:bookmarkStart w:id="61" w:name="ref-horbach2017"/>
    <w:p>
      <w:pPr>
        <w:pStyle w:val="Bibliography"/>
      </w:pPr>
      <w:r>
        <w:t xml:space="preserve">10.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60">
        <w:r>
          <w:rPr>
            <w:rStyle w:val="Hyperlink"/>
          </w:rPr>
          <w:t xml:space="preserve">http://dx.doi.org/10.1111/1471-0528.14698</w:t>
        </w:r>
      </w:hyperlink>
    </w:p>
    <w:bookmarkEnd w:id="61"/>
    <w:bookmarkStart w:id="63" w:name="ref-Jacob1998"/>
    <w:p>
      <w:pPr>
        <w:pStyle w:val="Bibliography"/>
      </w:pPr>
      <w:r>
        <w:t xml:space="preserve">11. Jacob AG, Driscoll DJ, Shaughnessy WJ, Stanson AW, Clay RP, Gloviczki P. Klippel-Trénaunay Syndrome: Spectrum and Management. Mayo Clinic Proceedings [Internet]. 1998;73:28–36. Available from:</w:t>
      </w:r>
      <w:r>
        <w:t xml:space="preserve"> </w:t>
      </w:r>
      <w:hyperlink r:id="rId62">
        <w:r>
          <w:rPr>
            <w:rStyle w:val="Hyperlink"/>
          </w:rPr>
          <w:t xml:space="preserve">http://dx.doi.org/10.1016/S0025-6196(11)63615-X</w:t>
        </w:r>
      </w:hyperlink>
    </w:p>
    <w:bookmarkEnd w:id="63"/>
    <w:bookmarkStart w:id="65"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64">
        <w:r>
          <w:rPr>
            <w:rStyle w:val="Hyperlink"/>
          </w:rPr>
          <w:t xml:space="preserve">http://dx.doi.org/10.1002/ijgo.15889</w:t>
        </w:r>
      </w:hyperlink>
    </w:p>
    <w:bookmarkEnd w:id="65"/>
    <w:bookmarkStart w:id="67" w:name="ref-Marvin2019"/>
    <w:p>
      <w:pPr>
        <w:pStyle w:val="Bibliography"/>
      </w:pPr>
      <w:r>
        <w:t xml:space="preserve">13.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67"/>
    <w:bookmarkStart w:id="69" w:name="ref-Akay2025"/>
    <w:p>
      <w:pPr>
        <w:pStyle w:val="Bibliography"/>
      </w:pPr>
      <w:r>
        <w:t xml:space="preserve">14. Akay E, Uzun Gül AD, Türkoğlu A.</w:t>
      </w:r>
      <w:r>
        <w:t xml:space="preserve"> </w:t>
      </w:r>
      <w:hyperlink r:id="rId6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9"/>
    <w:bookmarkStart w:id="71" w:name="ref-Chang2025"/>
    <w:p>
      <w:pPr>
        <w:pStyle w:val="Bibliography"/>
      </w:pPr>
      <w:r>
        <w:t xml:space="preserve">15.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70">
        <w:r>
          <w:rPr>
            <w:rStyle w:val="Hyperlink"/>
          </w:rPr>
          <w:t xml:space="preserve">http://dx.doi.org/10.7759/cureus.90065</w:t>
        </w:r>
      </w:hyperlink>
    </w:p>
    <w:bookmarkEnd w:id="71"/>
    <w:bookmarkStart w:id="73" w:name="ref-Mahajan2017"/>
    <w:p>
      <w:pPr>
        <w:pStyle w:val="Bibliography"/>
      </w:pPr>
      <w:r>
        <w:t xml:space="preserve">16. Mahajan P, Margolin J, Iacobas I. Kasabach-Merritt Phenomenon: Classic Presentation and Management Options. Clinical Medicine Insights: Blood Disorders [Internet]. 2017;10:1179545X1769984. Available from:</w:t>
      </w:r>
      <w:r>
        <w:t xml:space="preserve"> </w:t>
      </w:r>
      <w:hyperlink r:id="rId72">
        <w:r>
          <w:rPr>
            <w:rStyle w:val="Hyperlink"/>
          </w:rPr>
          <w:t xml:space="preserve">http://dx.doi.org/10.1177/1179545X17699849</w:t>
        </w:r>
      </w:hyperlink>
    </w:p>
    <w:bookmarkEnd w:id="73"/>
    <w:bookmarkStart w:id="75"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74">
        <w:r>
          <w:rPr>
            <w:rStyle w:val="Hyperlink"/>
          </w:rPr>
          <w:t xml:space="preserve">http://dx.doi.org/10.1016/0720-048x(94)90340-9</w:t>
        </w:r>
      </w:hyperlink>
    </w:p>
    <w:bookmarkEnd w:id="75"/>
    <w:bookmarkStart w:id="77"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76">
        <w:r>
          <w:rPr>
            <w:rStyle w:val="Hyperlink"/>
          </w:rPr>
          <w:t xml:space="preserve">http://dx.doi.org/10.7759/cureus.8023</w:t>
        </w:r>
      </w:hyperlink>
    </w:p>
    <w:bookmarkEnd w:id="77"/>
    <w:bookmarkStart w:id="79"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78">
        <w:r>
          <w:rPr>
            <w:rStyle w:val="Hyperlink"/>
          </w:rPr>
          <w:t xml:space="preserve">http://dx.doi.org/10.1177/1753495X17719181</w:t>
        </w:r>
      </w:hyperlink>
    </w:p>
    <w:bookmarkEnd w:id="79"/>
    <w:bookmarkStart w:id="80"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2026-04-12T12:08:52Z</dcterms:created>
  <dcterms:modified xsi:type="dcterms:W3CDTF">2026-04-12T12:08:52Z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