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4ED61" w14:textId="6BA35E54" w:rsidR="003C124C" w:rsidRDefault="003C124C" w:rsidP="003C124C">
      <w:pPr>
        <w:jc w:val="center"/>
        <w:rPr>
          <w:rFonts w:eastAsia="Times New Roman"/>
          <w:lang w:val="en-US" w:eastAsia="en-US"/>
        </w:rPr>
      </w:pPr>
      <w:r w:rsidRPr="00AC4D4F">
        <w:rPr>
          <w:rFonts w:asciiTheme="majorBidi" w:hAnsiTheme="majorBidi" w:cstheme="majorBidi"/>
          <w:b/>
          <w:bCs/>
          <w:noProof/>
          <w:sz w:val="30"/>
          <w:szCs w:val="36"/>
        </w:rPr>
        <w:drawing>
          <wp:inline distT="0" distB="0" distL="0" distR="0" wp14:anchorId="564A6DBF" wp14:editId="4C83DF85">
            <wp:extent cx="1440000" cy="1440000"/>
            <wp:effectExtent l="0" t="0" r="8255" b="8255"/>
            <wp:docPr id="129566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7F85860E" w14:textId="77777777" w:rsidR="003C124C" w:rsidRPr="003C124C" w:rsidRDefault="003C124C" w:rsidP="003C124C">
      <w:pPr>
        <w:jc w:val="center"/>
        <w:rPr>
          <w:rFonts w:eastAsia="Times New Roman"/>
          <w:rtl/>
          <w:lang w:val="en-US" w:eastAsia="en-US"/>
        </w:rPr>
      </w:pPr>
    </w:p>
    <w:p w14:paraId="2C22C2FF" w14:textId="46F22402" w:rsidR="00985832" w:rsidRPr="003C124C" w:rsidRDefault="00BD7A68" w:rsidP="003C124C">
      <w:pPr>
        <w:jc w:val="center"/>
        <w:rPr>
          <w:rFonts w:asciiTheme="majorBidi" w:eastAsia="Times New Roman" w:hAnsiTheme="majorBidi" w:cstheme="majorBidi"/>
          <w:b/>
          <w:bCs/>
          <w:sz w:val="30"/>
          <w:szCs w:val="36"/>
          <w:lang w:val="en-US" w:eastAsia="en-US"/>
        </w:rPr>
      </w:pPr>
      <w:r w:rsidRPr="00AC4D4F">
        <w:rPr>
          <w:rFonts w:asciiTheme="majorBidi" w:eastAsia="Times New Roman" w:hAnsiTheme="majorBidi" w:cstheme="majorBidi"/>
          <w:b/>
          <w:bCs/>
          <w:sz w:val="30"/>
          <w:szCs w:val="36"/>
          <w:lang w:val="en-US" w:eastAsia="en-US"/>
        </w:rPr>
        <w:t>RESEARCH PROTOCOL</w:t>
      </w:r>
      <w:r w:rsidR="00AC4D4F" w:rsidRPr="00AC4D4F">
        <w:rPr>
          <w:rFonts w:asciiTheme="majorBidi" w:eastAsia="Times New Roman" w:hAnsiTheme="majorBidi" w:cstheme="majorBidi"/>
          <w:b/>
          <w:bCs/>
          <w:sz w:val="30"/>
          <w:szCs w:val="36"/>
          <w:lang w:val="en-US" w:eastAsia="en-US"/>
        </w:rPr>
        <w:t xml:space="preserve"> </w:t>
      </w:r>
    </w:p>
    <w:p w14:paraId="1A4D9040" w14:textId="4074C770" w:rsidR="00BD7A68" w:rsidRPr="00BD7A68" w:rsidRDefault="00BD7A68" w:rsidP="005126C5">
      <w:pPr>
        <w:spacing w:before="100" w:beforeAutospacing="1" w:after="100" w:afterAutospacing="1" w:line="360" w:lineRule="auto"/>
        <w:jc w:val="center"/>
        <w:rPr>
          <w:rFonts w:asciiTheme="majorBidi" w:eastAsia="Times New Roman" w:hAnsiTheme="majorBidi" w:cstheme="majorBidi"/>
          <w:b/>
          <w:bCs/>
          <w:kern w:val="0"/>
          <w:sz w:val="44"/>
          <w:szCs w:val="44"/>
          <w14:ligatures w14:val="none"/>
        </w:rPr>
      </w:pPr>
      <w:r w:rsidRPr="00BD7A68">
        <w:rPr>
          <w:rFonts w:ascii="Arial" w:eastAsia="Times New Roman" w:hAnsi="Arial" w:cs="Arial"/>
          <w:b/>
          <w:bCs/>
          <w:color w:val="1F1F1F"/>
          <w:kern w:val="36"/>
          <w:sz w:val="40"/>
          <w:szCs w:val="40"/>
          <w:lang w:val="en-US" w:eastAsia="en-US"/>
          <w14:ligatures w14:val="none"/>
        </w:rPr>
        <w:br/>
      </w:r>
      <w:r w:rsidR="008A0A42" w:rsidRPr="00AC4D4F">
        <w:rPr>
          <w:rFonts w:asciiTheme="majorBidi" w:eastAsia="Times New Roman" w:hAnsiTheme="majorBidi" w:cstheme="majorBidi"/>
          <w:b/>
          <w:bCs/>
          <w:kern w:val="0"/>
          <w:sz w:val="40"/>
          <w:szCs w:val="40"/>
          <w14:ligatures w14:val="none"/>
        </w:rPr>
        <w:t>Shock Index and Serum Lactate as Predictors of In-Hospital Mortality in Adult Polytrauma Patients Presenting to the Emergency Department: A Retrospective Cohort Study</w:t>
      </w:r>
    </w:p>
    <w:p w14:paraId="05F8A339" w14:textId="77777777" w:rsidR="00BD7A68" w:rsidRDefault="00000000" w:rsidP="00BD7A68">
      <w:pPr>
        <w:spacing w:after="0" w:line="240" w:lineRule="auto"/>
        <w:rPr>
          <w:rFonts w:ascii="Times New Roman" w:eastAsia="Times New Roman" w:hAnsi="Times New Roman" w:cs="Times New Roman"/>
          <w:kern w:val="0"/>
          <w:lang w:val="en-US" w:eastAsia="en-US"/>
          <w14:ligatures w14:val="none"/>
        </w:rPr>
      </w:pPr>
      <w:r>
        <w:rPr>
          <w:rFonts w:ascii="Times New Roman" w:eastAsia="Times New Roman" w:hAnsi="Times New Roman" w:cs="Times New Roman"/>
          <w:kern w:val="0"/>
          <w:lang w:val="en-US" w:eastAsia="en-US"/>
          <w14:ligatures w14:val="none"/>
        </w:rPr>
        <w:pict w14:anchorId="42D02372">
          <v:rect id="_x0000_i1025" style="width:0;height:1.5pt" o:hralign="center" o:hrstd="t" o:hr="t" fillcolor="#a0a0a0" stroked="f"/>
        </w:pict>
      </w:r>
    </w:p>
    <w:p w14:paraId="48BD4572" w14:textId="77777777" w:rsidR="00BD7A68" w:rsidRDefault="00BD7A68" w:rsidP="00BD7A68">
      <w:pPr>
        <w:spacing w:after="0" w:line="240" w:lineRule="auto"/>
        <w:rPr>
          <w:rFonts w:ascii="Times New Roman" w:eastAsia="Times New Roman" w:hAnsi="Times New Roman" w:cs="Times New Roman"/>
          <w:kern w:val="0"/>
          <w:lang w:val="en-US" w:eastAsia="en-US"/>
          <w14:ligatures w14:val="none"/>
        </w:rPr>
      </w:pPr>
    </w:p>
    <w:p w14:paraId="3C18F6F9" w14:textId="77777777" w:rsidR="00BD7A68" w:rsidRDefault="00BD7A68" w:rsidP="00BD7A68">
      <w:pPr>
        <w:spacing w:after="0" w:line="240" w:lineRule="auto"/>
        <w:rPr>
          <w:rFonts w:ascii="Times New Roman" w:eastAsia="Times New Roman" w:hAnsi="Times New Roman" w:cs="Times New Roman"/>
          <w:kern w:val="0"/>
          <w:lang w:val="en-US" w:eastAsia="en-US"/>
          <w14:ligatures w14:val="none"/>
        </w:rPr>
      </w:pPr>
    </w:p>
    <w:p w14:paraId="1493EAFE" w14:textId="77777777" w:rsidR="00BD7A68" w:rsidRPr="00BD7A68" w:rsidRDefault="00BD7A68" w:rsidP="00BD7A68">
      <w:pPr>
        <w:spacing w:after="0" w:line="240" w:lineRule="auto"/>
        <w:rPr>
          <w:rFonts w:ascii="Times New Roman" w:eastAsia="Times New Roman" w:hAnsi="Times New Roman" w:cs="Times New Roman"/>
          <w:kern w:val="0"/>
          <w:lang w:val="en-US" w:eastAsia="en-US"/>
          <w14:ligatures w14:val="none"/>
        </w:rPr>
      </w:pPr>
    </w:p>
    <w:p w14:paraId="1A798E7F" w14:textId="445C5E6D" w:rsidR="00BD7A68" w:rsidRPr="00BD7A68" w:rsidRDefault="00BD7A68" w:rsidP="00BD7A68">
      <w:pPr>
        <w:shd w:val="clear" w:color="auto" w:fill="FFFFFF"/>
        <w:spacing w:after="150" w:line="240" w:lineRule="auto"/>
        <w:rPr>
          <w:rFonts w:ascii="Arial" w:eastAsia="Times New Roman" w:hAnsi="Arial" w:cs="Arial"/>
          <w:b/>
          <w:bCs/>
          <w:color w:val="1F1F1F"/>
          <w:kern w:val="0"/>
          <w:sz w:val="28"/>
          <w:szCs w:val="28"/>
          <w:lang w:val="en-US" w:eastAsia="en-US"/>
          <w14:ligatures w14:val="none"/>
        </w:rPr>
      </w:pPr>
      <w:r w:rsidRPr="00BD7A68">
        <w:rPr>
          <w:rFonts w:ascii="Arial" w:eastAsia="Times New Roman" w:hAnsi="Arial" w:cs="Arial"/>
          <w:b/>
          <w:bCs/>
          <w:color w:val="1F1F1F"/>
          <w:kern w:val="0"/>
          <w:sz w:val="28"/>
          <w:szCs w:val="28"/>
          <w:lang w:val="en-US" w:eastAsia="en-US"/>
          <w14:ligatures w14:val="none"/>
        </w:rPr>
        <w:t>Wave One</w:t>
      </w:r>
    </w:p>
    <w:p w14:paraId="365CBD8D" w14:textId="59242E90" w:rsidR="00BD7A68" w:rsidRPr="00985832" w:rsidRDefault="00BD7A68" w:rsidP="00BD7A68">
      <w:pPr>
        <w:shd w:val="clear" w:color="auto" w:fill="FFFFFF"/>
        <w:spacing w:after="150" w:line="240" w:lineRule="auto"/>
        <w:rPr>
          <w:rFonts w:ascii="Arial" w:eastAsia="Times New Roman" w:hAnsi="Arial" w:cs="Arial"/>
          <w:color w:val="1F1F1F"/>
          <w:kern w:val="0"/>
          <w:sz w:val="28"/>
          <w:szCs w:val="28"/>
          <w:rtl/>
          <w:lang w:val="en-US" w:eastAsia="en-US"/>
          <w14:ligatures w14:val="none"/>
        </w:rPr>
      </w:pPr>
      <w:r w:rsidRPr="00BD7A68">
        <w:rPr>
          <w:rFonts w:ascii="Arial" w:eastAsia="Times New Roman" w:hAnsi="Arial" w:cs="Arial"/>
          <w:b/>
          <w:bCs/>
          <w:color w:val="1F1F1F"/>
          <w:kern w:val="0"/>
          <w:sz w:val="28"/>
          <w:szCs w:val="28"/>
          <w:lang w:val="en-US" w:eastAsia="en-US"/>
          <w14:ligatures w14:val="none"/>
        </w:rPr>
        <w:t>Full Name:</w:t>
      </w:r>
      <w:r w:rsidRPr="00BD7A68">
        <w:rPr>
          <w:rFonts w:ascii="Arial" w:eastAsia="Times New Roman" w:hAnsi="Arial" w:cs="Arial"/>
          <w:color w:val="1F1F1F"/>
          <w:kern w:val="0"/>
          <w:sz w:val="28"/>
          <w:szCs w:val="28"/>
          <w:lang w:val="en-US" w:eastAsia="en-US"/>
          <w14:ligatures w14:val="none"/>
        </w:rPr>
        <w:t xml:space="preserve"> </w:t>
      </w:r>
      <w:r w:rsidRPr="00985832">
        <w:rPr>
          <w:rFonts w:ascii="Arial" w:eastAsia="Times New Roman" w:hAnsi="Arial" w:cs="Arial"/>
          <w:color w:val="1F1F1F"/>
          <w:kern w:val="0"/>
          <w:sz w:val="28"/>
          <w:szCs w:val="28"/>
          <w:lang w:val="en-US" w:eastAsia="en-US"/>
          <w14:ligatures w14:val="none"/>
        </w:rPr>
        <w:t xml:space="preserve">Abdulrahman Abdullatif Ali </w:t>
      </w:r>
      <w:proofErr w:type="spellStart"/>
      <w:r w:rsidRPr="00985832">
        <w:rPr>
          <w:rFonts w:ascii="Arial" w:eastAsia="Times New Roman" w:hAnsi="Arial" w:cs="Arial"/>
          <w:color w:val="1F1F1F"/>
          <w:kern w:val="0"/>
          <w:sz w:val="28"/>
          <w:szCs w:val="28"/>
          <w:lang w:val="en-US" w:eastAsia="en-US"/>
          <w14:ligatures w14:val="none"/>
        </w:rPr>
        <w:t>Eidresha</w:t>
      </w:r>
      <w:proofErr w:type="spellEnd"/>
    </w:p>
    <w:p w14:paraId="27AFF1C4" w14:textId="17C3AA8A" w:rsidR="00BD7A68" w:rsidRPr="00985832" w:rsidRDefault="00BD7A68" w:rsidP="00BD7A68">
      <w:pPr>
        <w:shd w:val="clear" w:color="auto" w:fill="FFFFFF"/>
        <w:spacing w:after="150" w:line="240" w:lineRule="auto"/>
        <w:rPr>
          <w:rFonts w:ascii="Arial" w:eastAsia="Times New Roman" w:hAnsi="Arial" w:cs="Arial"/>
          <w:color w:val="1F1F1F"/>
          <w:kern w:val="0"/>
          <w:sz w:val="28"/>
          <w:szCs w:val="28"/>
          <w:rtl/>
          <w:lang w:val="en-US" w:eastAsia="en-US"/>
          <w14:ligatures w14:val="none"/>
        </w:rPr>
      </w:pPr>
      <w:r w:rsidRPr="00BD7A68">
        <w:rPr>
          <w:rFonts w:ascii="Arial" w:eastAsia="Times New Roman" w:hAnsi="Arial" w:cs="Arial"/>
          <w:b/>
          <w:bCs/>
          <w:color w:val="1F1F1F"/>
          <w:kern w:val="0"/>
          <w:sz w:val="28"/>
          <w:szCs w:val="28"/>
          <w:lang w:val="en-US" w:eastAsia="en-US"/>
          <w14:ligatures w14:val="none"/>
        </w:rPr>
        <w:t>University:</w:t>
      </w:r>
      <w:r w:rsidRPr="00BD7A68">
        <w:rPr>
          <w:rFonts w:ascii="Arial" w:eastAsia="Times New Roman" w:hAnsi="Arial" w:cs="Arial"/>
          <w:color w:val="1F1F1F"/>
          <w:kern w:val="0"/>
          <w:sz w:val="28"/>
          <w:szCs w:val="28"/>
          <w:lang w:val="en-US" w:eastAsia="en-US"/>
          <w14:ligatures w14:val="none"/>
        </w:rPr>
        <w:t xml:space="preserve"> Ain Shams University </w:t>
      </w:r>
    </w:p>
    <w:p w14:paraId="19B033E5" w14:textId="77777777" w:rsidR="00BD7A68" w:rsidRPr="00985832" w:rsidRDefault="00BD7A68" w:rsidP="00BD7A68">
      <w:pPr>
        <w:shd w:val="clear" w:color="auto" w:fill="FFFFFF"/>
        <w:spacing w:after="150" w:line="240" w:lineRule="auto"/>
        <w:rPr>
          <w:rFonts w:ascii="Arial" w:eastAsia="Times New Roman" w:hAnsi="Arial" w:cs="Arial"/>
          <w:color w:val="1F1F1F"/>
          <w:kern w:val="0"/>
          <w:sz w:val="28"/>
          <w:szCs w:val="28"/>
          <w:rtl/>
          <w:lang w:val="en-US" w:eastAsia="en-US"/>
          <w14:ligatures w14:val="none"/>
        </w:rPr>
      </w:pPr>
      <w:r w:rsidRPr="00BD7A68">
        <w:rPr>
          <w:rFonts w:ascii="Arial" w:eastAsia="Times New Roman" w:hAnsi="Arial" w:cs="Arial"/>
          <w:b/>
          <w:bCs/>
          <w:color w:val="1F1F1F"/>
          <w:kern w:val="0"/>
          <w:sz w:val="28"/>
          <w:szCs w:val="28"/>
          <w:lang w:val="en-US" w:eastAsia="en-US"/>
          <w14:ligatures w14:val="none"/>
        </w:rPr>
        <w:t>Profession:</w:t>
      </w:r>
      <w:r w:rsidRPr="00BD7A68">
        <w:rPr>
          <w:rFonts w:ascii="Arial" w:eastAsia="Times New Roman" w:hAnsi="Arial" w:cs="Arial"/>
          <w:color w:val="1F1F1F"/>
          <w:kern w:val="0"/>
          <w:sz w:val="28"/>
          <w:szCs w:val="28"/>
          <w:lang w:val="en-US" w:eastAsia="en-US"/>
          <w14:ligatures w14:val="none"/>
        </w:rPr>
        <w:t xml:space="preserve"> Medical Student </w:t>
      </w:r>
    </w:p>
    <w:p w14:paraId="6161E016" w14:textId="2D10BF1E" w:rsidR="00BD7A68" w:rsidRPr="00985832" w:rsidRDefault="00BD7A68" w:rsidP="00BD7A68">
      <w:pPr>
        <w:shd w:val="clear" w:color="auto" w:fill="FFFFFF"/>
        <w:spacing w:after="150" w:line="240" w:lineRule="auto"/>
        <w:rPr>
          <w:rFonts w:ascii="Arial" w:eastAsia="Times New Roman" w:hAnsi="Arial" w:cs="Arial"/>
          <w:color w:val="1F1F1F"/>
          <w:kern w:val="0"/>
          <w:sz w:val="28"/>
          <w:szCs w:val="28"/>
          <w:rtl/>
          <w:lang w:val="en-US" w:eastAsia="en-US"/>
          <w14:ligatures w14:val="none"/>
        </w:rPr>
      </w:pPr>
      <w:r w:rsidRPr="00BD7A68">
        <w:rPr>
          <w:rFonts w:ascii="Arial" w:eastAsia="Times New Roman" w:hAnsi="Arial" w:cs="Arial"/>
          <w:b/>
          <w:bCs/>
          <w:color w:val="1F1F1F"/>
          <w:kern w:val="0"/>
          <w:sz w:val="28"/>
          <w:szCs w:val="28"/>
          <w:lang w:val="en-US" w:eastAsia="en-US"/>
          <w14:ligatures w14:val="none"/>
        </w:rPr>
        <w:t>Mobile Number:</w:t>
      </w:r>
      <w:r w:rsidRPr="00BD7A68">
        <w:rPr>
          <w:rFonts w:ascii="Arial" w:eastAsia="Times New Roman" w:hAnsi="Arial" w:cs="Arial"/>
          <w:color w:val="1F1F1F"/>
          <w:kern w:val="0"/>
          <w:sz w:val="28"/>
          <w:szCs w:val="28"/>
          <w:lang w:val="en-US" w:eastAsia="en-US"/>
          <w14:ligatures w14:val="none"/>
        </w:rPr>
        <w:t xml:space="preserve"> </w:t>
      </w:r>
      <w:r w:rsidRPr="00985832">
        <w:rPr>
          <w:rFonts w:ascii="Arial" w:eastAsia="Times New Roman" w:hAnsi="Arial" w:cs="Arial"/>
          <w:color w:val="1F1F1F"/>
          <w:kern w:val="0"/>
          <w:sz w:val="28"/>
          <w:szCs w:val="28"/>
          <w:lang w:val="en-US" w:eastAsia="en-US"/>
          <w14:ligatures w14:val="none"/>
        </w:rPr>
        <w:t>+201068978862</w:t>
      </w:r>
      <w:r w:rsidRPr="00BD7A68">
        <w:rPr>
          <w:rFonts w:ascii="Arial" w:eastAsia="Times New Roman" w:hAnsi="Arial" w:cs="Arial"/>
          <w:color w:val="1F1F1F"/>
          <w:kern w:val="0"/>
          <w:sz w:val="28"/>
          <w:szCs w:val="28"/>
          <w:lang w:val="en-US" w:eastAsia="en-US"/>
          <w14:ligatures w14:val="none"/>
        </w:rPr>
        <w:t xml:space="preserve"> </w:t>
      </w:r>
    </w:p>
    <w:p w14:paraId="63AE141E" w14:textId="2668B90D" w:rsidR="00124822" w:rsidRPr="00985832" w:rsidRDefault="00BD7A68" w:rsidP="00124822">
      <w:pPr>
        <w:shd w:val="clear" w:color="auto" w:fill="FFFFFF"/>
        <w:spacing w:after="150" w:line="240" w:lineRule="auto"/>
        <w:rPr>
          <w:rFonts w:ascii="Arial" w:eastAsia="Times New Roman" w:hAnsi="Arial" w:cs="Arial"/>
          <w:color w:val="1F1F1F"/>
          <w:kern w:val="0"/>
          <w:sz w:val="28"/>
          <w:szCs w:val="28"/>
          <w:lang w:val="en-US" w:eastAsia="en-US"/>
          <w14:ligatures w14:val="none"/>
        </w:rPr>
        <w:sectPr w:rsidR="00124822" w:rsidRPr="00985832" w:rsidSect="00985832">
          <w:headerReference w:type="default" r:id="rId8"/>
          <w:footerReference w:type="default" r:id="rId9"/>
          <w:pgSz w:w="11906" w:h="16838"/>
          <w:pgMar w:top="1440" w:right="1440" w:bottom="1440" w:left="1440" w:header="283" w:footer="0" w:gutter="0"/>
          <w:pgNumType w:start="0"/>
          <w:cols w:space="708"/>
          <w:titlePg/>
          <w:docGrid w:linePitch="360"/>
        </w:sectPr>
      </w:pPr>
      <w:r w:rsidRPr="00BD7A68">
        <w:rPr>
          <w:rFonts w:ascii="Arial" w:eastAsia="Times New Roman" w:hAnsi="Arial" w:cs="Arial"/>
          <w:b/>
          <w:bCs/>
          <w:color w:val="1F1F1F"/>
          <w:kern w:val="0"/>
          <w:sz w:val="28"/>
          <w:szCs w:val="28"/>
          <w:lang w:val="en-US" w:eastAsia="en-US"/>
          <w14:ligatures w14:val="none"/>
        </w:rPr>
        <w:t>Email Address:</w:t>
      </w:r>
      <w:r w:rsidRPr="00BD7A68">
        <w:rPr>
          <w:rFonts w:ascii="Arial" w:eastAsia="Times New Roman" w:hAnsi="Arial" w:cs="Arial"/>
          <w:color w:val="1F1F1F"/>
          <w:kern w:val="0"/>
          <w:sz w:val="28"/>
          <w:szCs w:val="28"/>
          <w:lang w:val="en-US" w:eastAsia="en-US"/>
          <w14:ligatures w14:val="none"/>
        </w:rPr>
        <w:t xml:space="preserve"> </w:t>
      </w:r>
      <w:hyperlink r:id="rId10" w:history="1">
        <w:r w:rsidRPr="00985832">
          <w:rPr>
            <w:rStyle w:val="Hyperlink"/>
            <w:rFonts w:ascii="Arial" w:eastAsia="Times New Roman" w:hAnsi="Arial" w:cs="Arial"/>
            <w:kern w:val="0"/>
            <w:sz w:val="28"/>
            <w:szCs w:val="28"/>
            <w:lang w:val="en-US" w:eastAsia="en-US"/>
            <w14:ligatures w14:val="none"/>
          </w:rPr>
          <w:t>241244@med.asu.edu.eg</w:t>
        </w:r>
      </w:hyperlink>
    </w:p>
    <w:p w14:paraId="2B6FA5BF" w14:textId="77777777" w:rsidR="00263F42" w:rsidRPr="00263F42" w:rsidRDefault="00263F42" w:rsidP="0082634F">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b/>
          <w:bCs/>
          <w:kern w:val="0"/>
          <w:sz w:val="36"/>
          <w:szCs w:val="36"/>
          <w14:ligatures w14:val="none"/>
        </w:rPr>
        <w:lastRenderedPageBreak/>
        <w:t>1. Introduction</w:t>
      </w:r>
    </w:p>
    <w:p w14:paraId="75365D56"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1.1 Background and Rationale</w:t>
      </w:r>
    </w:p>
    <w:p w14:paraId="41A79AFD" w14:textId="239E396F"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Trauma </w:t>
      </w:r>
      <w:r w:rsidR="008A2B81">
        <w:rPr>
          <w:rFonts w:asciiTheme="majorBidi" w:eastAsia="Times New Roman" w:hAnsiTheme="majorBidi" w:cstheme="majorBidi"/>
          <w:kern w:val="0"/>
          <w14:ligatures w14:val="none"/>
        </w:rPr>
        <w:t>is</w:t>
      </w:r>
      <w:r w:rsidRPr="00263F42">
        <w:rPr>
          <w:rFonts w:asciiTheme="majorBidi" w:eastAsia="Times New Roman" w:hAnsiTheme="majorBidi" w:cstheme="majorBidi"/>
          <w:kern w:val="0"/>
          <w14:ligatures w14:val="none"/>
        </w:rPr>
        <w:t xml:space="preserve"> a leading global cause of death and disability, particularly among young adults (WHO, 2020). Early identification of high-risk trauma patients in the emergency department is essential to improve triage and guide management decisions. Traditional vital signs</w:t>
      </w:r>
      <w:r w:rsidR="008A2B81">
        <w:rPr>
          <w:rFonts w:asciiTheme="majorBidi" w:eastAsia="Times New Roman" w:hAnsiTheme="majorBidi" w:cstheme="majorBidi"/>
          <w:kern w:val="0"/>
          <w14:ligatures w14:val="none"/>
        </w:rPr>
        <w:t xml:space="preserve"> </w:t>
      </w:r>
      <w:r w:rsidRPr="00263F42">
        <w:rPr>
          <w:rFonts w:asciiTheme="majorBidi" w:eastAsia="Times New Roman" w:hAnsiTheme="majorBidi" w:cstheme="majorBidi"/>
          <w:kern w:val="0"/>
          <w14:ligatures w14:val="none"/>
        </w:rPr>
        <w:t>as heart rate and blood pressure, when evaluated in isolation, may fail to detect early hemodynamic compromise (Mutschler et al., 2013).</w:t>
      </w:r>
    </w:p>
    <w:p w14:paraId="5D3597DE" w14:textId="7FDC5CDE" w:rsidR="00FB585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D32F08">
        <w:rPr>
          <w:rFonts w:asciiTheme="majorBidi" w:eastAsia="Times New Roman" w:hAnsiTheme="majorBidi" w:cstheme="majorBidi"/>
          <w:b/>
          <w:bCs/>
          <w:kern w:val="0"/>
          <w14:ligatures w14:val="none"/>
        </w:rPr>
        <w:t>The Shock Index (SI)</w:t>
      </w:r>
      <w:r w:rsidRPr="00263F42">
        <w:rPr>
          <w:rFonts w:asciiTheme="majorBidi" w:eastAsia="Times New Roman" w:hAnsiTheme="majorBidi" w:cstheme="majorBidi"/>
          <w:kern w:val="0"/>
          <w14:ligatures w14:val="none"/>
        </w:rPr>
        <w:t xml:space="preserve">, defined as the ratio of heart rate to systolic blood pressure, is a simple bedside marker of hemodynamic instability first described by </w:t>
      </w:r>
      <w:proofErr w:type="spellStart"/>
      <w:r w:rsidRPr="00263F42">
        <w:rPr>
          <w:rFonts w:asciiTheme="majorBidi" w:eastAsia="Times New Roman" w:hAnsiTheme="majorBidi" w:cstheme="majorBidi"/>
          <w:kern w:val="0"/>
          <w14:ligatures w14:val="none"/>
        </w:rPr>
        <w:t>Allgöwer</w:t>
      </w:r>
      <w:proofErr w:type="spellEnd"/>
      <w:r w:rsidRPr="00263F42">
        <w:rPr>
          <w:rFonts w:asciiTheme="majorBidi" w:eastAsia="Times New Roman" w:hAnsiTheme="majorBidi" w:cstheme="majorBidi"/>
          <w:kern w:val="0"/>
          <w14:ligatures w14:val="none"/>
        </w:rPr>
        <w:t xml:space="preserve"> and Burri (1967). An elevated SI (≥ 0.9) has been associated with increased mortality in polytrauma patients, with reported mortality rates 59.5% in patients with SI ≥ 0.9 </w:t>
      </w:r>
      <w:r w:rsidR="008A2B81">
        <w:rPr>
          <w:rFonts w:asciiTheme="majorBidi" w:eastAsia="Times New Roman" w:hAnsiTheme="majorBidi" w:cstheme="majorBidi"/>
          <w:kern w:val="0"/>
          <w14:ligatures w14:val="none"/>
        </w:rPr>
        <w:t>and</w:t>
      </w:r>
      <w:r w:rsidRPr="00263F42">
        <w:rPr>
          <w:rFonts w:asciiTheme="majorBidi" w:eastAsia="Times New Roman" w:hAnsiTheme="majorBidi" w:cstheme="majorBidi"/>
          <w:kern w:val="0"/>
          <w14:ligatures w14:val="none"/>
        </w:rPr>
        <w:t xml:space="preserve"> 3.1% </w:t>
      </w:r>
      <w:r w:rsidR="008A2B81" w:rsidRPr="00263F42">
        <w:rPr>
          <w:rFonts w:asciiTheme="majorBidi" w:eastAsia="Times New Roman" w:hAnsiTheme="majorBidi" w:cstheme="majorBidi"/>
          <w:kern w:val="0"/>
          <w14:ligatures w14:val="none"/>
        </w:rPr>
        <w:t xml:space="preserve">in patients with </w:t>
      </w:r>
      <w:r w:rsidRPr="00263F42">
        <w:rPr>
          <w:rFonts w:asciiTheme="majorBidi" w:eastAsia="Times New Roman" w:hAnsiTheme="majorBidi" w:cstheme="majorBidi"/>
          <w:kern w:val="0"/>
          <w14:ligatures w14:val="none"/>
        </w:rPr>
        <w:t xml:space="preserve">SI &lt; 0.9 (Montoya et al., 2015). </w:t>
      </w:r>
    </w:p>
    <w:p w14:paraId="55F1A138" w14:textId="428BC3D8"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D32F08">
        <w:rPr>
          <w:rFonts w:asciiTheme="majorBidi" w:eastAsia="Times New Roman" w:hAnsiTheme="majorBidi" w:cstheme="majorBidi"/>
          <w:b/>
          <w:bCs/>
          <w:kern w:val="0"/>
          <w14:ligatures w14:val="none"/>
        </w:rPr>
        <w:t>Serum lactate</w:t>
      </w:r>
      <w:r w:rsidRPr="00263F42">
        <w:rPr>
          <w:rFonts w:asciiTheme="majorBidi" w:eastAsia="Times New Roman" w:hAnsiTheme="majorBidi" w:cstheme="majorBidi"/>
          <w:kern w:val="0"/>
          <w14:ligatures w14:val="none"/>
        </w:rPr>
        <w:t xml:space="preserve"> is a </w:t>
      </w:r>
      <w:r w:rsidR="008A2B81">
        <w:rPr>
          <w:rFonts w:asciiTheme="majorBidi" w:eastAsia="Times New Roman" w:hAnsiTheme="majorBidi" w:cstheme="majorBidi"/>
          <w:kern w:val="0"/>
          <w14:ligatures w14:val="none"/>
        </w:rPr>
        <w:t>known</w:t>
      </w:r>
      <w:r w:rsidRPr="00263F42">
        <w:rPr>
          <w:rFonts w:asciiTheme="majorBidi" w:eastAsia="Times New Roman" w:hAnsiTheme="majorBidi" w:cstheme="majorBidi"/>
          <w:kern w:val="0"/>
          <w14:ligatures w14:val="none"/>
        </w:rPr>
        <w:t xml:space="preserve"> biomarker </w:t>
      </w:r>
      <w:r w:rsidR="008A2B81">
        <w:rPr>
          <w:rFonts w:asciiTheme="majorBidi" w:eastAsia="Times New Roman" w:hAnsiTheme="majorBidi" w:cstheme="majorBidi"/>
          <w:kern w:val="0"/>
          <w14:ligatures w14:val="none"/>
        </w:rPr>
        <w:t>for</w:t>
      </w:r>
      <w:r w:rsidRPr="00263F42">
        <w:rPr>
          <w:rFonts w:asciiTheme="majorBidi" w:eastAsia="Times New Roman" w:hAnsiTheme="majorBidi" w:cstheme="majorBidi"/>
          <w:kern w:val="0"/>
          <w14:ligatures w14:val="none"/>
        </w:rPr>
        <w:t xml:space="preserve"> tissue hypoperfusion and </w:t>
      </w:r>
      <w:r w:rsidR="008A2B81">
        <w:rPr>
          <w:rFonts w:asciiTheme="majorBidi" w:eastAsia="Times New Roman" w:hAnsiTheme="majorBidi" w:cstheme="majorBidi"/>
          <w:kern w:val="0"/>
          <w14:ligatures w14:val="none"/>
        </w:rPr>
        <w:t>was</w:t>
      </w:r>
      <w:r w:rsidRPr="00263F42">
        <w:rPr>
          <w:rFonts w:asciiTheme="majorBidi" w:eastAsia="Times New Roman" w:hAnsiTheme="majorBidi" w:cstheme="majorBidi"/>
          <w:kern w:val="0"/>
          <w14:ligatures w14:val="none"/>
        </w:rPr>
        <w:t xml:space="preserve"> linked to worse outcomes in trauma, including higher mortality rates in patients with admission lactate ≥ 4 mmol/L (Callaway et al., 2009; Kruse et al., 2011).</w:t>
      </w:r>
    </w:p>
    <w:p w14:paraId="690B8D8B" w14:textId="051F2730" w:rsidR="00136995" w:rsidRDefault="00263F42" w:rsidP="00DE0332">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Although both markers </w:t>
      </w:r>
      <w:r w:rsidR="008A2B81">
        <w:rPr>
          <w:rFonts w:asciiTheme="majorBidi" w:eastAsia="Times New Roman" w:hAnsiTheme="majorBidi" w:cstheme="majorBidi"/>
          <w:kern w:val="0"/>
          <w14:ligatures w14:val="none"/>
        </w:rPr>
        <w:t>were</w:t>
      </w:r>
      <w:r w:rsidRPr="00263F42">
        <w:rPr>
          <w:rFonts w:asciiTheme="majorBidi" w:eastAsia="Times New Roman" w:hAnsiTheme="majorBidi" w:cstheme="majorBidi"/>
          <w:kern w:val="0"/>
          <w14:ligatures w14:val="none"/>
        </w:rPr>
        <w:t xml:space="preserve"> studied individually, evidence evaluating their comparative and combined predictive value remains limited, </w:t>
      </w:r>
      <w:proofErr w:type="spellStart"/>
      <w:r w:rsidR="008A2B81">
        <w:rPr>
          <w:rFonts w:asciiTheme="majorBidi" w:eastAsia="Times New Roman" w:hAnsiTheme="majorBidi" w:cstheme="majorBidi"/>
          <w:kern w:val="0"/>
          <w14:ligatures w14:val="none"/>
        </w:rPr>
        <w:t>specially</w:t>
      </w:r>
      <w:proofErr w:type="spellEnd"/>
      <w:r w:rsidRPr="00263F42">
        <w:rPr>
          <w:rFonts w:asciiTheme="majorBidi" w:eastAsia="Times New Roman" w:hAnsiTheme="majorBidi" w:cstheme="majorBidi"/>
          <w:kern w:val="0"/>
          <w14:ligatures w14:val="none"/>
        </w:rPr>
        <w:t xml:space="preserve"> in Egypt and the Middle East (Siddiqui et al., 2024). </w:t>
      </w:r>
    </w:p>
    <w:p w14:paraId="31C2BBDC" w14:textId="4345D510"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This study aims to evaluate the association of the Shock Index and serum lactate with in-hospital mortality in polytrauma patients presenting to the emergency department.</w:t>
      </w:r>
    </w:p>
    <w:p w14:paraId="16ADAA96" w14:textId="39412B66" w:rsidR="00263F42" w:rsidRPr="00263F42" w:rsidRDefault="00263F42" w:rsidP="00737F12">
      <w:pPr>
        <w:tabs>
          <w:tab w:val="left" w:pos="3646"/>
        </w:tabs>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1.2 Objectives</w:t>
      </w:r>
      <w:r w:rsidR="00737F12">
        <w:rPr>
          <w:rFonts w:asciiTheme="majorBidi" w:eastAsia="Times New Roman" w:hAnsiTheme="majorBidi" w:cstheme="majorBidi"/>
          <w:b/>
          <w:bCs/>
          <w:kern w:val="0"/>
          <w:sz w:val="27"/>
          <w:szCs w:val="27"/>
          <w14:ligatures w14:val="none"/>
        </w:rPr>
        <w:tab/>
      </w:r>
    </w:p>
    <w:p w14:paraId="1F75F0CB" w14:textId="15C4FE60" w:rsidR="0098583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Primary Objective:</w:t>
      </w:r>
      <w:r w:rsidRPr="00263F42">
        <w:rPr>
          <w:rFonts w:asciiTheme="majorBidi" w:eastAsia="Times New Roman" w:hAnsiTheme="majorBidi" w:cstheme="majorBidi"/>
          <w:kern w:val="0"/>
          <w14:ligatures w14:val="none"/>
        </w:rPr>
        <w:br/>
        <w:t>To assess whether initial Shock Index and initial serum lactate are associated with in-hospital mortality in adult polytrauma patients.</w:t>
      </w:r>
    </w:p>
    <w:p w14:paraId="2B206B66" w14:textId="03D6A9D1" w:rsidR="00263F42" w:rsidRPr="00263F42" w:rsidRDefault="00985832" w:rsidP="00985832">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br w:type="page"/>
      </w:r>
    </w:p>
    <w:p w14:paraId="0AA36D59"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lastRenderedPageBreak/>
        <w:t>Secondary Objectives:</w:t>
      </w:r>
    </w:p>
    <w:p w14:paraId="3AA69B64" w14:textId="77777777" w:rsidR="00263F42" w:rsidRPr="00263F42" w:rsidRDefault="00263F42" w:rsidP="0082634F">
      <w:pPr>
        <w:numPr>
          <w:ilvl w:val="0"/>
          <w:numId w:val="3"/>
        </w:num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To assess the correlation between Shock Index and serum lactate at presentation.</w:t>
      </w:r>
    </w:p>
    <w:p w14:paraId="24A41DAD" w14:textId="77777777" w:rsidR="00263F42" w:rsidRPr="00263F42" w:rsidRDefault="00263F42" w:rsidP="0082634F">
      <w:pPr>
        <w:numPr>
          <w:ilvl w:val="0"/>
          <w:numId w:val="3"/>
        </w:num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To compare the predictive performance of Shock Index and serum lactate for in-hospital mortality.</w:t>
      </w:r>
    </w:p>
    <w:p w14:paraId="4713413A" w14:textId="3717FC2B" w:rsidR="00263F42" w:rsidRPr="008A2B81" w:rsidRDefault="00263F42" w:rsidP="0082634F">
      <w:pPr>
        <w:numPr>
          <w:ilvl w:val="0"/>
          <w:numId w:val="3"/>
        </w:numPr>
        <w:spacing w:before="100" w:beforeAutospacing="1" w:after="100" w:afterAutospacing="1" w:line="360" w:lineRule="auto"/>
        <w:rPr>
          <w:rFonts w:asciiTheme="majorBidi" w:eastAsia="Times New Roman" w:hAnsiTheme="majorBidi" w:cstheme="majorBidi"/>
          <w:kern w:val="0"/>
          <w14:ligatures w14:val="none"/>
        </w:rPr>
      </w:pPr>
      <w:r w:rsidRPr="008A2B81">
        <w:rPr>
          <w:rFonts w:asciiTheme="majorBidi" w:eastAsia="Times New Roman" w:hAnsiTheme="majorBidi" w:cstheme="majorBidi"/>
          <w:kern w:val="0"/>
          <w14:ligatures w14:val="none"/>
        </w:rPr>
        <w:t>To assess the association of Shock Index and serum lactate with secondary outcomes (ICU admission, blood transfusion, urgent surgical intervention).</w:t>
      </w:r>
    </w:p>
    <w:p w14:paraId="48BA1D92"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1.3 Hypothesis</w:t>
      </w:r>
    </w:p>
    <w:p w14:paraId="270D392A"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Patients with an elevated Shock Index (≥ 0.9) and/or an elevated initial serum lactate (≥ 4 mmol/L) at presentation have a higher risk of in-hospital mortality compared with those with normal values.</w:t>
      </w:r>
    </w:p>
    <w:p w14:paraId="3AE5CF2B" w14:textId="2EAC21A3" w:rsidR="00263F42" w:rsidRPr="006867D1" w:rsidRDefault="00263F42" w:rsidP="006867D1">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3AF7370C" wp14:editId="39078F24">
                <wp:extent cx="5731510" cy="1270"/>
                <wp:effectExtent l="0" t="31750" r="0" b="36830"/>
                <wp:docPr id="135002248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6AA392"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r w:rsidRPr="00263F42">
        <w:rPr>
          <w:rFonts w:asciiTheme="majorBidi" w:eastAsia="Times New Roman" w:hAnsiTheme="majorBidi" w:cstheme="majorBidi"/>
          <w:b/>
          <w:bCs/>
          <w:kern w:val="0"/>
          <w:sz w:val="36"/>
          <w:szCs w:val="36"/>
          <w14:ligatures w14:val="none"/>
        </w:rPr>
        <w:t>2. Methods</w:t>
      </w:r>
    </w:p>
    <w:p w14:paraId="1D498A00"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2.1 Study Design</w:t>
      </w:r>
    </w:p>
    <w:p w14:paraId="293FF2A0"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This study will be conducted as a retrospective cohort study. This is the most appropriate design because the exposure variables (Shock Index and serum lactate) are measured at the time of presentation, and the cohort is followed retrospectively through existing medical records to ascertain the hospital outcome.</w:t>
      </w:r>
    </w:p>
    <w:p w14:paraId="154BA8B0"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2.2 Study Setting and Period</w:t>
      </w:r>
    </w:p>
    <w:p w14:paraId="12932322"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The study will be conducted at the Emergency Department of Al-</w:t>
      </w:r>
      <w:proofErr w:type="spellStart"/>
      <w:r w:rsidRPr="00263F42">
        <w:rPr>
          <w:rFonts w:asciiTheme="majorBidi" w:eastAsia="Times New Roman" w:hAnsiTheme="majorBidi" w:cstheme="majorBidi"/>
          <w:kern w:val="0"/>
          <w14:ligatures w14:val="none"/>
        </w:rPr>
        <w:t>Demerdash</w:t>
      </w:r>
      <w:proofErr w:type="spellEnd"/>
      <w:r w:rsidRPr="00263F42">
        <w:rPr>
          <w:rFonts w:asciiTheme="majorBidi" w:eastAsia="Times New Roman" w:hAnsiTheme="majorBidi" w:cstheme="majorBidi"/>
          <w:kern w:val="0"/>
          <w14:ligatures w14:val="none"/>
        </w:rPr>
        <w:t xml:space="preserve"> Hospital, Ain Shams University, Cairo, Egypt. Records of eligible patients presenting from January 1, 2025, to June 30, 2025, will be reviewed.</w:t>
      </w:r>
    </w:p>
    <w:p w14:paraId="31B795DC"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2.3 Participants</w:t>
      </w:r>
    </w:p>
    <w:p w14:paraId="6AFCEFD6"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Inclusion Criteria:</w:t>
      </w:r>
      <w:r w:rsidRPr="00263F42">
        <w:rPr>
          <w:rFonts w:asciiTheme="majorBidi" w:eastAsia="Times New Roman" w:hAnsiTheme="majorBidi" w:cstheme="majorBidi"/>
          <w:kern w:val="0"/>
          <w14:ligatures w14:val="none"/>
        </w:rPr>
        <w:br/>
        <w:t xml:space="preserve">Adult patients (≥ 18 years); presenting with polytrauma, defined as an Injury Severity Score (ISS) &gt; 15 (Baker et al., 1974); documented initial heart rate and systolic blood pressure at </w:t>
      </w:r>
      <w:r w:rsidRPr="00263F42">
        <w:rPr>
          <w:rFonts w:asciiTheme="majorBidi" w:eastAsia="Times New Roman" w:hAnsiTheme="majorBidi" w:cstheme="majorBidi"/>
          <w:kern w:val="0"/>
          <w14:ligatures w14:val="none"/>
        </w:rPr>
        <w:lastRenderedPageBreak/>
        <w:t>emergency department presentation or initial triage; serum lactate drawn within the first 6 hours of admission; and a clearly documented hospital outcome.</w:t>
      </w:r>
    </w:p>
    <w:p w14:paraId="2BC19003" w14:textId="226D89AD" w:rsidR="00C4510F" w:rsidRDefault="00263F42" w:rsidP="00FF340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Exclusion Criteria:</w:t>
      </w:r>
      <w:r w:rsidRPr="00263F42">
        <w:rPr>
          <w:rFonts w:asciiTheme="majorBidi" w:eastAsia="Times New Roman" w:hAnsiTheme="majorBidi" w:cstheme="majorBidi"/>
          <w:kern w:val="0"/>
          <w14:ligatures w14:val="none"/>
        </w:rPr>
        <w:br/>
      </w:r>
      <w:r w:rsidR="00C4510F">
        <w:rPr>
          <w:rFonts w:asciiTheme="majorBidi" w:eastAsia="Times New Roman" w:hAnsiTheme="majorBidi" w:cstheme="majorBidi"/>
          <w:kern w:val="0"/>
          <w14:ligatures w14:val="none"/>
        </w:rPr>
        <w:t xml:space="preserve">Patients will be excluded if they </w:t>
      </w:r>
      <w:r w:rsidR="008A2B81">
        <w:rPr>
          <w:rFonts w:asciiTheme="majorBidi" w:eastAsia="Times New Roman" w:hAnsiTheme="majorBidi" w:cstheme="majorBidi"/>
          <w:kern w:val="0"/>
          <w14:ligatures w14:val="none"/>
        </w:rPr>
        <w:t>have</w:t>
      </w:r>
      <w:r w:rsidR="00C4510F">
        <w:rPr>
          <w:rFonts w:asciiTheme="majorBidi" w:eastAsia="Times New Roman" w:hAnsiTheme="majorBidi" w:cstheme="majorBidi"/>
          <w:kern w:val="0"/>
          <w14:ligatures w14:val="none"/>
        </w:rPr>
        <w:t xml:space="preserve"> any of the following criteria.</w:t>
      </w:r>
    </w:p>
    <w:p w14:paraId="19FBEF1E" w14:textId="59285AD7" w:rsidR="00C4510F" w:rsidRDefault="004B7FF0"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4B7FF0">
        <w:rPr>
          <w:rFonts w:asciiTheme="majorBidi" w:eastAsia="Times New Roman" w:hAnsiTheme="majorBidi" w:cstheme="majorBidi"/>
          <w:kern w:val="0"/>
          <w:u w:val="single"/>
          <w14:ligatures w14:val="none"/>
        </w:rPr>
        <w:t xml:space="preserve">Paediatric </w:t>
      </w:r>
      <w:r w:rsidR="00C4510F" w:rsidRPr="004B7FF0">
        <w:rPr>
          <w:rFonts w:asciiTheme="majorBidi" w:eastAsia="Times New Roman" w:hAnsiTheme="majorBidi" w:cstheme="majorBidi"/>
          <w:kern w:val="0"/>
          <w:u w:val="single"/>
          <w14:ligatures w14:val="none"/>
        </w:rPr>
        <w:t>patient</w:t>
      </w:r>
      <w:r w:rsidR="00C4510F" w:rsidRPr="004B7FF0">
        <w:rPr>
          <w:rFonts w:asciiTheme="majorBidi" w:eastAsia="Times New Roman" w:hAnsiTheme="majorBidi" w:cstheme="majorBidi"/>
          <w:kern w:val="0"/>
          <w14:ligatures w14:val="none"/>
        </w:rPr>
        <w:t>s</w:t>
      </w:r>
      <w:r w:rsidR="00C4510F">
        <w:rPr>
          <w:rFonts w:asciiTheme="majorBidi" w:eastAsia="Times New Roman" w:hAnsiTheme="majorBidi" w:cstheme="majorBidi"/>
          <w:kern w:val="0"/>
          <w14:ligatures w14:val="none"/>
        </w:rPr>
        <w:t xml:space="preserve"> under 18 years of age will be excluded due to physiological differences in </w:t>
      </w:r>
      <w:r w:rsidR="008A2B81">
        <w:rPr>
          <w:rFonts w:asciiTheme="majorBidi" w:eastAsia="Times New Roman" w:hAnsiTheme="majorBidi" w:cstheme="majorBidi"/>
          <w:kern w:val="0"/>
          <w14:ligatures w14:val="none"/>
        </w:rPr>
        <w:t>normal</w:t>
      </w:r>
      <w:r w:rsidR="00C4510F">
        <w:rPr>
          <w:rFonts w:asciiTheme="majorBidi" w:eastAsia="Times New Roman" w:hAnsiTheme="majorBidi" w:cstheme="majorBidi"/>
          <w:kern w:val="0"/>
          <w14:ligatures w14:val="none"/>
        </w:rPr>
        <w:t xml:space="preserve"> vital signs and hemodynamic parameters. </w:t>
      </w:r>
    </w:p>
    <w:p w14:paraId="3991514D" w14:textId="3C073DDD"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8A2B81">
        <w:rPr>
          <w:rFonts w:asciiTheme="majorBidi" w:eastAsia="Times New Roman" w:hAnsiTheme="majorBidi" w:cstheme="majorBidi"/>
          <w:kern w:val="0"/>
          <w:u w:val="single"/>
          <w14:ligatures w14:val="none"/>
        </w:rPr>
        <w:t>Pregnant women</w:t>
      </w:r>
      <w:r>
        <w:rPr>
          <w:rFonts w:asciiTheme="majorBidi" w:eastAsia="Times New Roman" w:hAnsiTheme="majorBidi" w:cstheme="majorBidi"/>
          <w:kern w:val="0"/>
          <w14:ligatures w14:val="none"/>
        </w:rPr>
        <w:t xml:space="preserve"> will be excluded due to pregnancy-induced hemodynamic and metabolic chan</w:t>
      </w:r>
      <w:r w:rsidR="00FF340F">
        <w:rPr>
          <w:rFonts w:asciiTheme="majorBidi" w:eastAsia="Times New Roman" w:hAnsiTheme="majorBidi" w:cstheme="majorBidi"/>
          <w:kern w:val="0"/>
          <w14:ligatures w14:val="none"/>
        </w:rPr>
        <w:t>g</w:t>
      </w:r>
      <w:r>
        <w:rPr>
          <w:rFonts w:asciiTheme="majorBidi" w:eastAsia="Times New Roman" w:hAnsiTheme="majorBidi" w:cstheme="majorBidi"/>
          <w:kern w:val="0"/>
          <w14:ligatures w14:val="none"/>
        </w:rPr>
        <w:t xml:space="preserve">es that </w:t>
      </w:r>
      <w:r w:rsidR="008A2B81">
        <w:rPr>
          <w:rFonts w:asciiTheme="majorBidi" w:eastAsia="Times New Roman" w:hAnsiTheme="majorBidi" w:cstheme="majorBidi"/>
          <w:kern w:val="0"/>
          <w14:ligatures w14:val="none"/>
        </w:rPr>
        <w:t>affect</w:t>
      </w:r>
      <w:r>
        <w:rPr>
          <w:rFonts w:asciiTheme="majorBidi" w:eastAsia="Times New Roman" w:hAnsiTheme="majorBidi" w:cstheme="majorBidi"/>
          <w:kern w:val="0"/>
          <w14:ligatures w14:val="none"/>
        </w:rPr>
        <w:t xml:space="preserve"> baseline heart rate, blood pressure, and lactate metabolism. </w:t>
      </w:r>
    </w:p>
    <w:p w14:paraId="7A43E864" w14:textId="16F23BCF"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8A2B81">
        <w:rPr>
          <w:rFonts w:asciiTheme="majorBidi" w:eastAsia="Times New Roman" w:hAnsiTheme="majorBidi" w:cstheme="majorBidi"/>
          <w:kern w:val="0"/>
          <w:u w:val="single"/>
          <w14:ligatures w14:val="none"/>
        </w:rPr>
        <w:t>Patients transferred</w:t>
      </w:r>
      <w:r>
        <w:rPr>
          <w:rFonts w:asciiTheme="majorBidi" w:eastAsia="Times New Roman" w:hAnsiTheme="majorBidi" w:cstheme="majorBidi"/>
          <w:kern w:val="0"/>
          <w14:ligatures w14:val="none"/>
        </w:rPr>
        <w:t xml:space="preserve"> from other healthcare facilities will be excluded. A transferred patient is defined operationally as any patient arriving via a secondary transfer ambulance with referral papers indicating prior management (including intravenous fluids, vasopressors, or blood products) at another facility. </w:t>
      </w:r>
    </w:p>
    <w:p w14:paraId="52B20528" w14:textId="47ABF88F"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8A2B81">
        <w:rPr>
          <w:rFonts w:asciiTheme="majorBidi" w:eastAsia="Times New Roman" w:hAnsiTheme="majorBidi" w:cstheme="majorBidi"/>
          <w:kern w:val="0"/>
          <w:u w:val="single"/>
          <w14:ligatures w14:val="none"/>
        </w:rPr>
        <w:t>Patients arriving directly</w:t>
      </w:r>
      <w:r>
        <w:rPr>
          <w:rFonts w:asciiTheme="majorBidi" w:eastAsia="Times New Roman" w:hAnsiTheme="majorBidi" w:cstheme="majorBidi"/>
          <w:kern w:val="0"/>
          <w14:ligatures w14:val="none"/>
        </w:rPr>
        <w:t xml:space="preserve"> from the scene via primary ambulance services, even if basic pre-hospital intravenous fluids were administered </w:t>
      </w:r>
      <w:proofErr w:type="spellStart"/>
      <w:r>
        <w:rPr>
          <w:rFonts w:asciiTheme="majorBidi" w:eastAsia="Times New Roman" w:hAnsiTheme="majorBidi" w:cstheme="majorBidi"/>
          <w:kern w:val="0"/>
          <w14:ligatures w14:val="none"/>
        </w:rPr>
        <w:t>en</w:t>
      </w:r>
      <w:proofErr w:type="spellEnd"/>
      <w:r>
        <w:rPr>
          <w:rFonts w:asciiTheme="majorBidi" w:eastAsia="Times New Roman" w:hAnsiTheme="majorBidi" w:cstheme="majorBidi"/>
          <w:kern w:val="0"/>
          <w14:ligatures w14:val="none"/>
        </w:rPr>
        <w:t xml:space="preserve"> route, </w:t>
      </w:r>
      <w:r w:rsidRPr="008A2B81">
        <w:rPr>
          <w:rFonts w:asciiTheme="majorBidi" w:eastAsia="Times New Roman" w:hAnsiTheme="majorBidi" w:cstheme="majorBidi"/>
          <w:kern w:val="0"/>
          <w:u w:val="single"/>
          <w14:ligatures w14:val="none"/>
        </w:rPr>
        <w:t>will be included</w:t>
      </w:r>
      <w:r>
        <w:rPr>
          <w:rFonts w:asciiTheme="majorBidi" w:eastAsia="Times New Roman" w:hAnsiTheme="majorBidi" w:cstheme="majorBidi"/>
          <w:kern w:val="0"/>
          <w14:ligatures w14:val="none"/>
        </w:rPr>
        <w:t xml:space="preserve">, but the receipt of pre-hospital fluids will be </w:t>
      </w:r>
      <w:proofErr w:type="gramStart"/>
      <w:r>
        <w:rPr>
          <w:rFonts w:asciiTheme="majorBidi" w:eastAsia="Times New Roman" w:hAnsiTheme="majorBidi" w:cstheme="majorBidi"/>
          <w:kern w:val="0"/>
          <w14:ligatures w14:val="none"/>
        </w:rPr>
        <w:t>documented</w:t>
      </w:r>
      <w:r w:rsidR="008A2B81">
        <w:rPr>
          <w:rFonts w:asciiTheme="majorBidi" w:eastAsia="Times New Roman" w:hAnsiTheme="majorBidi" w:cstheme="majorBidi"/>
          <w:kern w:val="0"/>
          <w14:ligatures w14:val="none"/>
        </w:rPr>
        <w:t xml:space="preserve"> </w:t>
      </w:r>
      <w:r>
        <w:rPr>
          <w:rFonts w:asciiTheme="majorBidi" w:eastAsia="Times New Roman" w:hAnsiTheme="majorBidi" w:cstheme="majorBidi"/>
          <w:kern w:val="0"/>
          <w14:ligatures w14:val="none"/>
        </w:rPr>
        <w:t>.</w:t>
      </w:r>
      <w:proofErr w:type="gramEnd"/>
      <w:r>
        <w:rPr>
          <w:rFonts w:asciiTheme="majorBidi" w:eastAsia="Times New Roman" w:hAnsiTheme="majorBidi" w:cstheme="majorBidi"/>
          <w:kern w:val="0"/>
          <w14:ligatures w14:val="none"/>
        </w:rPr>
        <w:t xml:space="preserve"> </w:t>
      </w:r>
    </w:p>
    <w:p w14:paraId="3864A274" w14:textId="61597DB1"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8A2B81">
        <w:rPr>
          <w:rFonts w:asciiTheme="majorBidi" w:eastAsia="Times New Roman" w:hAnsiTheme="majorBidi" w:cstheme="majorBidi"/>
          <w:kern w:val="0"/>
          <w:u w:val="single"/>
          <w14:ligatures w14:val="none"/>
        </w:rPr>
        <w:t>Patients who were dead</w:t>
      </w:r>
      <w:r>
        <w:rPr>
          <w:rFonts w:asciiTheme="majorBidi" w:eastAsia="Times New Roman" w:hAnsiTheme="majorBidi" w:cstheme="majorBidi"/>
          <w:kern w:val="0"/>
          <w14:ligatures w14:val="none"/>
        </w:rPr>
        <w:t xml:space="preserve"> on arrival (DOA) or who died immediately upon presentation before initial vital signs recording and blood sampling could be performed will be excluded.</w:t>
      </w:r>
    </w:p>
    <w:p w14:paraId="3F3E7BFC" w14:textId="2B6B6496"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sidRPr="008A2B81">
        <w:rPr>
          <w:rFonts w:asciiTheme="majorBidi" w:eastAsia="Times New Roman" w:hAnsiTheme="majorBidi" w:cstheme="majorBidi"/>
          <w:kern w:val="0"/>
          <w:u w:val="single"/>
          <w14:ligatures w14:val="none"/>
        </w:rPr>
        <w:t>Patients with missing core data</w:t>
      </w:r>
      <w:r>
        <w:rPr>
          <w:rFonts w:asciiTheme="majorBidi" w:eastAsia="Times New Roman" w:hAnsiTheme="majorBidi" w:cstheme="majorBidi"/>
          <w:kern w:val="0"/>
          <w14:ligatures w14:val="none"/>
        </w:rPr>
        <w:t xml:space="preserve"> preventing calculation of the primary exposure or determination of the primary outcome will be excluded. Core data are defined as initial heart rate, initial systolic blood pressure, initial serum lactate, and documented survival outcome at hospital discharge</w:t>
      </w:r>
      <w:r w:rsidR="008A2B81">
        <w:rPr>
          <w:rFonts w:asciiTheme="majorBidi" w:eastAsia="Times New Roman" w:hAnsiTheme="majorBidi" w:cstheme="majorBidi"/>
          <w:kern w:val="0"/>
          <w14:ligatures w14:val="none"/>
        </w:rPr>
        <w:t>.</w:t>
      </w:r>
    </w:p>
    <w:p w14:paraId="0F7ECE8F" w14:textId="08483CCA" w:rsidR="00C4510F" w:rsidRDefault="00C4510F" w:rsidP="009B0A76">
      <w:pPr>
        <w:spacing w:before="100" w:beforeAutospacing="1" w:after="100" w:afterAutospacing="1" w:line="360" w:lineRule="auto"/>
        <w:ind w:firstLine="720"/>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Pr="008A2B81">
        <w:rPr>
          <w:rFonts w:asciiTheme="majorBidi" w:eastAsia="Times New Roman" w:hAnsiTheme="majorBidi" w:cstheme="majorBidi"/>
          <w:kern w:val="0"/>
          <w:u w:val="single"/>
          <w14:ligatures w14:val="none"/>
        </w:rPr>
        <w:t>Patients with known pre-existing conditions</w:t>
      </w:r>
      <w:r>
        <w:rPr>
          <w:rFonts w:asciiTheme="majorBidi" w:eastAsia="Times New Roman" w:hAnsiTheme="majorBidi" w:cstheme="majorBidi"/>
          <w:kern w:val="0"/>
          <w14:ligatures w14:val="none"/>
        </w:rPr>
        <w:t xml:space="preserve"> that independently elevate serum lactate levels will be excluded. These conditions include documented </w:t>
      </w:r>
      <w:r w:rsidRPr="009B0A76">
        <w:rPr>
          <w:rFonts w:asciiTheme="majorBidi" w:eastAsia="Times New Roman" w:hAnsiTheme="majorBidi" w:cstheme="majorBidi"/>
          <w:i/>
          <w:iCs/>
          <w:kern w:val="0"/>
          <w14:ligatures w14:val="none"/>
        </w:rPr>
        <w:t>hepatic cirrhosis</w:t>
      </w:r>
      <w:r>
        <w:rPr>
          <w:rFonts w:asciiTheme="majorBidi" w:eastAsia="Times New Roman" w:hAnsiTheme="majorBidi" w:cstheme="majorBidi"/>
          <w:kern w:val="0"/>
          <w14:ligatures w14:val="none"/>
        </w:rPr>
        <w:t xml:space="preserve">, </w:t>
      </w:r>
      <w:r w:rsidRPr="009B0A76">
        <w:rPr>
          <w:rFonts w:asciiTheme="majorBidi" w:eastAsia="Times New Roman" w:hAnsiTheme="majorBidi" w:cstheme="majorBidi"/>
          <w:i/>
          <w:iCs/>
          <w:kern w:val="0"/>
          <w14:ligatures w14:val="none"/>
        </w:rPr>
        <w:t>end-stage renal disease on dialysis</w:t>
      </w:r>
      <w:r>
        <w:rPr>
          <w:rFonts w:asciiTheme="majorBidi" w:eastAsia="Times New Roman" w:hAnsiTheme="majorBidi" w:cstheme="majorBidi"/>
          <w:kern w:val="0"/>
          <w14:ligatures w14:val="none"/>
        </w:rPr>
        <w:t xml:space="preserve">, </w:t>
      </w:r>
      <w:r w:rsidRPr="009B0A76">
        <w:rPr>
          <w:rFonts w:asciiTheme="majorBidi" w:eastAsia="Times New Roman" w:hAnsiTheme="majorBidi" w:cstheme="majorBidi"/>
          <w:i/>
          <w:iCs/>
          <w:kern w:val="0"/>
          <w14:ligatures w14:val="none"/>
        </w:rPr>
        <w:t>active sepsis at presentation</w:t>
      </w:r>
      <w:r>
        <w:rPr>
          <w:rFonts w:asciiTheme="majorBidi" w:eastAsia="Times New Roman" w:hAnsiTheme="majorBidi" w:cstheme="majorBidi"/>
          <w:kern w:val="0"/>
          <w14:ligatures w14:val="none"/>
        </w:rPr>
        <w:t xml:space="preserve"> and </w:t>
      </w:r>
      <w:r w:rsidRPr="009B0A76">
        <w:rPr>
          <w:rFonts w:asciiTheme="majorBidi" w:eastAsia="Times New Roman" w:hAnsiTheme="majorBidi" w:cstheme="majorBidi"/>
          <w:i/>
          <w:iCs/>
          <w:kern w:val="0"/>
          <w14:ligatures w14:val="none"/>
        </w:rPr>
        <w:t>diabetic ketoacidosis</w:t>
      </w:r>
      <w:r>
        <w:rPr>
          <w:rFonts w:asciiTheme="majorBidi" w:eastAsia="Times New Roman" w:hAnsiTheme="majorBidi" w:cstheme="majorBidi"/>
          <w:kern w:val="0"/>
          <w14:ligatures w14:val="none"/>
        </w:rPr>
        <w:t xml:space="preserve">. Identification of these conditions will be based on any documented medical history in the ED admission notes, referral letters, or prior hospital records available in the patient’s chart. </w:t>
      </w:r>
    </w:p>
    <w:p w14:paraId="04CF2297" w14:textId="05A59CA3" w:rsidR="00C4510F" w:rsidRDefault="00C4510F" w:rsidP="001B4AA6">
      <w:pPr>
        <w:spacing w:before="100" w:beforeAutospacing="1" w:after="100" w:afterAutospacing="1" w:line="360" w:lineRule="auto"/>
        <w:ind w:firstLine="720"/>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lastRenderedPageBreak/>
        <w:t>This exclusion is designed to avoid confounding the lactate measurements attributable to acute trauma.</w:t>
      </w:r>
    </w:p>
    <w:p w14:paraId="279B234A" w14:textId="1F182057" w:rsidR="00C4510F" w:rsidRPr="00ED77BC" w:rsidRDefault="00C4510F" w:rsidP="00ED77BC">
      <w:pPr>
        <w:spacing w:before="100" w:beforeAutospacing="1" w:after="100" w:afterAutospacing="1" w:line="360" w:lineRule="auto"/>
        <w:ind w:firstLine="720"/>
        <w:rPr>
          <w:rFonts w:asciiTheme="majorBidi" w:eastAsia="Times New Roman" w:hAnsiTheme="majorBidi" w:cstheme="majorBidi"/>
          <w:color w:val="E97132" w:themeColor="accent2"/>
          <w:kern w:val="0"/>
          <w14:ligatures w14:val="none"/>
        </w:rPr>
      </w:pPr>
      <w:r>
        <w:rPr>
          <w:rFonts w:asciiTheme="majorBidi" w:eastAsia="Times New Roman" w:hAnsiTheme="majorBidi" w:cstheme="majorBidi"/>
          <w:kern w:val="0"/>
          <w14:ligatures w14:val="none"/>
        </w:rPr>
        <w:t xml:space="preserve"> </w:t>
      </w:r>
      <w:r w:rsidRPr="006616EC">
        <w:rPr>
          <w:rFonts w:asciiTheme="majorBidi" w:eastAsia="Times New Roman" w:hAnsiTheme="majorBidi" w:cstheme="majorBidi"/>
          <w:kern w:val="0"/>
          <w14:ligatures w14:val="none"/>
        </w:rPr>
        <w:t>Patients on documented beta-blocker therapy will be flagged during data collection; their impact on the Shock Index will be addressed through a sensitivity analysis</w:t>
      </w:r>
      <w:r w:rsidR="008A2B81">
        <w:rPr>
          <w:rFonts w:asciiTheme="majorBidi" w:eastAsia="Times New Roman" w:hAnsiTheme="majorBidi" w:cstheme="majorBidi"/>
          <w:kern w:val="0"/>
          <w14:ligatures w14:val="none"/>
        </w:rPr>
        <w:t>.</w:t>
      </w:r>
    </w:p>
    <w:p w14:paraId="376BFD52" w14:textId="4C3718FE"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2.4 Variables</w:t>
      </w:r>
    </w:p>
    <w:p w14:paraId="44E1F95F"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Exposures:</w:t>
      </w:r>
      <w:r w:rsidRPr="00263F42">
        <w:rPr>
          <w:rFonts w:asciiTheme="majorBidi" w:eastAsia="Times New Roman" w:hAnsiTheme="majorBidi" w:cstheme="majorBidi"/>
          <w:kern w:val="0"/>
          <w14:ligatures w14:val="none"/>
        </w:rPr>
        <w:br/>
        <w:t>Shock Index (</w:t>
      </w:r>
      <w:proofErr w:type="spellStart"/>
      <w:r w:rsidRPr="00263F42">
        <w:rPr>
          <w:rFonts w:asciiTheme="majorBidi" w:eastAsia="Times New Roman" w:hAnsiTheme="majorBidi" w:cstheme="majorBidi"/>
          <w:kern w:val="0"/>
          <w14:ligatures w14:val="none"/>
        </w:rPr>
        <w:t>analyzed</w:t>
      </w:r>
      <w:proofErr w:type="spellEnd"/>
      <w:r w:rsidRPr="00263F42">
        <w:rPr>
          <w:rFonts w:asciiTheme="majorBidi" w:eastAsia="Times New Roman" w:hAnsiTheme="majorBidi" w:cstheme="majorBidi"/>
          <w:kern w:val="0"/>
          <w14:ligatures w14:val="none"/>
        </w:rPr>
        <w:t xml:space="preserve"> continuously, and categorically at ≥ 0.9) and initial serum lactate (</w:t>
      </w:r>
      <w:proofErr w:type="spellStart"/>
      <w:r w:rsidRPr="00263F42">
        <w:rPr>
          <w:rFonts w:asciiTheme="majorBidi" w:eastAsia="Times New Roman" w:hAnsiTheme="majorBidi" w:cstheme="majorBidi"/>
          <w:kern w:val="0"/>
          <w14:ligatures w14:val="none"/>
        </w:rPr>
        <w:t>analyzed</w:t>
      </w:r>
      <w:proofErr w:type="spellEnd"/>
      <w:r w:rsidRPr="00263F42">
        <w:rPr>
          <w:rFonts w:asciiTheme="majorBidi" w:eastAsia="Times New Roman" w:hAnsiTheme="majorBidi" w:cstheme="majorBidi"/>
          <w:kern w:val="0"/>
          <w14:ligatures w14:val="none"/>
        </w:rPr>
        <w:t xml:space="preserve"> continuously, and categorically at ≥ 4 mmol/L).</w:t>
      </w:r>
    </w:p>
    <w:p w14:paraId="2C288F66"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Primary Outcome:</w:t>
      </w:r>
      <w:r w:rsidRPr="00263F42">
        <w:rPr>
          <w:rFonts w:asciiTheme="majorBidi" w:eastAsia="Times New Roman" w:hAnsiTheme="majorBidi" w:cstheme="majorBidi"/>
          <w:kern w:val="0"/>
          <w14:ligatures w14:val="none"/>
        </w:rPr>
        <w:br/>
        <w:t>In-hospital mortality.</w:t>
      </w:r>
    </w:p>
    <w:p w14:paraId="2B120663"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8A2B81">
        <w:rPr>
          <w:rFonts w:asciiTheme="majorBidi" w:eastAsia="Times New Roman" w:hAnsiTheme="majorBidi" w:cstheme="majorBidi"/>
          <w:b/>
          <w:bCs/>
          <w:kern w:val="0"/>
          <w14:ligatures w14:val="none"/>
        </w:rPr>
        <w:t>Secondary Outcomes:</w:t>
      </w:r>
      <w:r w:rsidRPr="008A2B81">
        <w:rPr>
          <w:rFonts w:asciiTheme="majorBidi" w:eastAsia="Times New Roman" w:hAnsiTheme="majorBidi" w:cstheme="majorBidi"/>
          <w:kern w:val="0"/>
          <w14:ligatures w14:val="none"/>
        </w:rPr>
        <w:br/>
        <w:t>Urgent surgery (&lt; 24 hours), blood transfusion (&lt; 24 hours), and ICU admission.</w:t>
      </w:r>
    </w:p>
    <w:p w14:paraId="6D8BBEA2" w14:textId="77777777" w:rsid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Potential Confounders:</w:t>
      </w:r>
      <w:r w:rsidRPr="00263F42">
        <w:rPr>
          <w:rFonts w:asciiTheme="majorBidi" w:eastAsia="Times New Roman" w:hAnsiTheme="majorBidi" w:cstheme="majorBidi"/>
          <w:kern w:val="0"/>
          <w14:ligatures w14:val="none"/>
        </w:rPr>
        <w:br/>
        <w:t xml:space="preserve">Age, sex, mechanism of injury, Glasgow Coma Scale (GCS), ISS, initial </w:t>
      </w:r>
      <w:proofErr w:type="spellStart"/>
      <w:r w:rsidRPr="00263F42">
        <w:rPr>
          <w:rFonts w:asciiTheme="majorBidi" w:eastAsia="Times New Roman" w:hAnsiTheme="majorBidi" w:cstheme="majorBidi"/>
          <w:kern w:val="0"/>
          <w14:ligatures w14:val="none"/>
        </w:rPr>
        <w:t>hemoglobin</w:t>
      </w:r>
      <w:proofErr w:type="spellEnd"/>
      <w:r w:rsidRPr="00263F42">
        <w:rPr>
          <w:rFonts w:asciiTheme="majorBidi" w:eastAsia="Times New Roman" w:hAnsiTheme="majorBidi" w:cstheme="majorBidi"/>
          <w:kern w:val="0"/>
          <w14:ligatures w14:val="none"/>
        </w:rPr>
        <w:t>, and documented beta-blocker use.</w:t>
      </w:r>
    </w:p>
    <w:p w14:paraId="4CBD5C12" w14:textId="1781EA38" w:rsidR="0001324E" w:rsidRPr="00263F42" w:rsidRDefault="0001324E" w:rsidP="0082634F">
      <w:pPr>
        <w:spacing w:before="100" w:beforeAutospacing="1" w:after="100" w:afterAutospacing="1" w:line="360" w:lineRule="auto"/>
        <w:rPr>
          <w:rFonts w:asciiTheme="majorBidi" w:eastAsia="Times New Roman" w:hAnsiTheme="majorBidi" w:cstheme="majorBidi"/>
          <w:kern w:val="0"/>
          <w14:ligatures w14:val="none"/>
        </w:rPr>
      </w:pPr>
      <w:r w:rsidRPr="0001324E">
        <w:rPr>
          <w:rFonts w:asciiTheme="majorBidi" w:eastAsia="Times New Roman" w:hAnsiTheme="majorBidi" w:cstheme="majorBidi"/>
          <w:b/>
          <w:bCs/>
          <w:kern w:val="0"/>
          <w14:ligatures w14:val="none"/>
        </w:rPr>
        <w:t>Handling of quantitative variables:</w:t>
      </w:r>
      <w:r>
        <w:rPr>
          <w:rFonts w:asciiTheme="majorBidi" w:eastAsia="Times New Roman" w:hAnsiTheme="majorBidi" w:cstheme="majorBidi"/>
          <w:kern w:val="0"/>
          <w14:ligatures w14:val="none"/>
        </w:rPr>
        <w:t xml:space="preserve"> Shock Index, serum lactate, age, ISS, and GCS will primarily be </w:t>
      </w:r>
      <w:proofErr w:type="spellStart"/>
      <w:r>
        <w:rPr>
          <w:rFonts w:asciiTheme="majorBidi" w:eastAsia="Times New Roman" w:hAnsiTheme="majorBidi" w:cstheme="majorBidi"/>
          <w:kern w:val="0"/>
          <w14:ligatures w14:val="none"/>
        </w:rPr>
        <w:t>analyzed</w:t>
      </w:r>
      <w:proofErr w:type="spellEnd"/>
      <w:r>
        <w:rPr>
          <w:rFonts w:asciiTheme="majorBidi" w:eastAsia="Times New Roman" w:hAnsiTheme="majorBidi" w:cstheme="majorBidi"/>
          <w:kern w:val="0"/>
          <w14:ligatures w14:val="none"/>
        </w:rPr>
        <w:t xml:space="preserve"> as continuous variables. For descriptive and prognostic purposes, SI will also be categorized at 0.9 and lactate at 4 mmol/L, based on previous trauma literature.</w:t>
      </w:r>
    </w:p>
    <w:p w14:paraId="251D2F4F"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2.5 Data Sources and Bias Control</w:t>
      </w:r>
    </w:p>
    <w:p w14:paraId="6BACB719" w14:textId="08BB88F4"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All data will be </w:t>
      </w:r>
      <w:r w:rsidR="008A2B81">
        <w:rPr>
          <w:rFonts w:asciiTheme="majorBidi" w:eastAsia="Times New Roman" w:hAnsiTheme="majorBidi" w:cstheme="majorBidi"/>
          <w:kern w:val="0"/>
          <w14:ligatures w14:val="none"/>
        </w:rPr>
        <w:t>collected</w:t>
      </w:r>
      <w:r w:rsidRPr="00263F42">
        <w:rPr>
          <w:rFonts w:asciiTheme="majorBidi" w:eastAsia="Times New Roman" w:hAnsiTheme="majorBidi" w:cstheme="majorBidi"/>
          <w:kern w:val="0"/>
          <w14:ligatures w14:val="none"/>
        </w:rPr>
        <w:t xml:space="preserve"> from existing paper-based medical records. Initial vital signs will be obtained from the emergency department triage sheet. Serum lactate and h</w:t>
      </w:r>
      <w:r w:rsidR="00DB74C0">
        <w:rPr>
          <w:rFonts w:asciiTheme="majorBidi" w:eastAsia="Times New Roman" w:hAnsiTheme="majorBidi" w:cstheme="majorBidi"/>
          <w:kern w:val="0"/>
          <w14:ligatures w14:val="none"/>
        </w:rPr>
        <w:t>a</w:t>
      </w:r>
      <w:r w:rsidRPr="00263F42">
        <w:rPr>
          <w:rFonts w:asciiTheme="majorBidi" w:eastAsia="Times New Roman" w:hAnsiTheme="majorBidi" w:cstheme="majorBidi"/>
          <w:kern w:val="0"/>
          <w14:ligatures w14:val="none"/>
        </w:rPr>
        <w:t xml:space="preserve">emoglobin values will be obtained from laboratory reports. Injury data for ISS calculation will be obtained from clinical notes, radiology reports, and operative notes. Outcome data will be obtained from ICU records and discharge or death summaries. To minimize selection and information bias, all presenting eligible patients during the study period will be included, and data will be systematically extracted using a </w:t>
      </w:r>
      <w:r w:rsidR="008A2B81">
        <w:rPr>
          <w:rFonts w:asciiTheme="majorBidi" w:eastAsia="Times New Roman" w:hAnsiTheme="majorBidi" w:cstheme="majorBidi"/>
          <w:kern w:val="0"/>
          <w14:ligatures w14:val="none"/>
        </w:rPr>
        <w:t>data collection</w:t>
      </w:r>
      <w:r w:rsidRPr="00263F42">
        <w:rPr>
          <w:rFonts w:asciiTheme="majorBidi" w:eastAsia="Times New Roman" w:hAnsiTheme="majorBidi" w:cstheme="majorBidi"/>
          <w:kern w:val="0"/>
          <w14:ligatures w14:val="none"/>
        </w:rPr>
        <w:t xml:space="preserve"> form.</w:t>
      </w:r>
    </w:p>
    <w:p w14:paraId="5BF92C45"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720B325D" wp14:editId="32981545">
                <wp:extent cx="5731510" cy="1270"/>
                <wp:effectExtent l="0" t="31750" r="0" b="36830"/>
                <wp:docPr id="160542677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CA3875"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52CD5355" w14:textId="75302BAC" w:rsidR="003E4B72" w:rsidRPr="000D52F2" w:rsidRDefault="00263F42" w:rsidP="000D52F2">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b/>
          <w:bCs/>
          <w:kern w:val="0"/>
          <w:sz w:val="36"/>
          <w:szCs w:val="36"/>
          <w14:ligatures w14:val="none"/>
        </w:rPr>
        <w:lastRenderedPageBreak/>
        <w:t>3. Sample Size Calculation</w:t>
      </w:r>
    </w:p>
    <w:p w14:paraId="34C9751D" w14:textId="0D783C47" w:rsidR="00ED77BC" w:rsidRPr="00E924C3" w:rsidRDefault="003E4B72" w:rsidP="00ED77BC">
      <w:pPr>
        <w:spacing w:line="360" w:lineRule="auto"/>
        <w:rPr>
          <w:rFonts w:asciiTheme="majorBidi" w:hAnsiTheme="majorBidi" w:cstheme="majorBidi"/>
          <w:b/>
          <w:bCs/>
        </w:rPr>
      </w:pPr>
      <w:r w:rsidRPr="003E4B72">
        <w:rPr>
          <w:rFonts w:ascii="Times New Roman" w:eastAsia="Times New Roman" w:hAnsi="Times New Roman" w:cs="Times New Roman"/>
          <w:kern w:val="0"/>
          <w14:ligatures w14:val="none"/>
        </w:rPr>
        <w:t>​</w:t>
      </w:r>
      <w:r w:rsidR="00ED77BC" w:rsidRPr="00ED77BC">
        <w:rPr>
          <w:rFonts w:asciiTheme="majorBidi" w:hAnsiTheme="majorBidi" w:cstheme="majorBidi"/>
          <w:b/>
          <w:bCs/>
        </w:rPr>
        <w:t xml:space="preserve"> </w:t>
      </w:r>
      <w:r w:rsidR="00ED77BC" w:rsidRPr="00E924C3">
        <w:rPr>
          <w:rFonts w:asciiTheme="majorBidi" w:hAnsiTheme="majorBidi" w:cstheme="majorBidi"/>
          <w:b/>
          <w:bCs/>
        </w:rPr>
        <w:t>Primary calculation (Events Per Variable Rule):</w:t>
      </w:r>
    </w:p>
    <w:p w14:paraId="2F9E9C26" w14:textId="77777777" w:rsidR="00ED77BC" w:rsidRPr="00E924C3" w:rsidRDefault="00ED77BC" w:rsidP="00ED77BC">
      <w:pPr>
        <w:spacing w:line="360" w:lineRule="auto"/>
        <w:rPr>
          <w:rFonts w:asciiTheme="majorBidi" w:hAnsiTheme="majorBidi" w:cstheme="majorBidi"/>
        </w:rPr>
      </w:pPr>
      <w:r w:rsidRPr="00E924C3">
        <w:rPr>
          <w:rFonts w:asciiTheme="majorBidi" w:hAnsiTheme="majorBidi" w:cstheme="majorBidi"/>
        </w:rPr>
        <w:t>To avoid overfitting in our multivariable logistic regression model, we used the Events Per Variable (EPV) rule (Peduzzi et al., 1996). This rule requires at least 10 outcome events (mortality cases) per predictor variable. Our planned model includes 4 main predictors (Shock Index, Serum Lactate, Age, and Injury Severity Score). Therefore, we need a minimum of 40 mortality events (4 × 10).</w:t>
      </w:r>
    </w:p>
    <w:p w14:paraId="72D93AA3" w14:textId="77777777" w:rsidR="00ED77BC" w:rsidRPr="00E924C3" w:rsidRDefault="00ED77BC" w:rsidP="00ED77BC">
      <w:pPr>
        <w:spacing w:line="360" w:lineRule="auto"/>
        <w:rPr>
          <w:rFonts w:asciiTheme="majorBidi" w:hAnsiTheme="majorBidi" w:cstheme="majorBidi"/>
        </w:rPr>
      </w:pPr>
      <w:r w:rsidRPr="00E924C3">
        <w:rPr>
          <w:rFonts w:asciiTheme="majorBidi" w:hAnsiTheme="majorBidi" w:cstheme="majorBidi"/>
        </w:rPr>
        <w:t xml:space="preserve">Based on previous literature (e.g., Rodríguez García et al., 2024; Çay et al., 2022), the mortality rate in polytrauma patients ranges from 6.8% to 14%. Because our study setting is a tertiary trauma </w:t>
      </w:r>
      <w:proofErr w:type="spellStart"/>
      <w:r w:rsidRPr="00E924C3">
        <w:rPr>
          <w:rFonts w:asciiTheme="majorBidi" w:hAnsiTheme="majorBidi" w:cstheme="majorBidi"/>
        </w:rPr>
        <w:t>center</w:t>
      </w:r>
      <w:proofErr w:type="spellEnd"/>
      <w:r w:rsidRPr="00E924C3">
        <w:rPr>
          <w:rFonts w:asciiTheme="majorBidi" w:hAnsiTheme="majorBidi" w:cstheme="majorBidi"/>
        </w:rPr>
        <w:t xml:space="preserve"> that receives severe cases with prolonged pre-hospital transport, we estimated a slightly higher baseline mortality rate of 15%. To achieve 40 mortality events at a 15% expected rate, we need a total sample size of 267 patients (40 ÷ 0.15).</w:t>
      </w:r>
    </w:p>
    <w:p w14:paraId="12AB8171" w14:textId="77777777" w:rsidR="00ED77BC" w:rsidRPr="00E924C3" w:rsidRDefault="00ED77BC" w:rsidP="00ED77BC">
      <w:pPr>
        <w:spacing w:line="360" w:lineRule="auto"/>
        <w:rPr>
          <w:rFonts w:asciiTheme="majorBidi" w:hAnsiTheme="majorBidi" w:cstheme="majorBidi"/>
          <w:b/>
          <w:bCs/>
        </w:rPr>
      </w:pPr>
      <w:r w:rsidRPr="00E924C3">
        <w:rPr>
          <w:rFonts w:asciiTheme="majorBidi" w:hAnsiTheme="majorBidi" w:cstheme="majorBidi"/>
          <w:b/>
          <w:bCs/>
        </w:rPr>
        <w:t>Secondary calculation (Power Analysis):</w:t>
      </w:r>
    </w:p>
    <w:p w14:paraId="58919A33" w14:textId="77777777" w:rsidR="00ED77BC" w:rsidRPr="00E924C3" w:rsidRDefault="00ED77BC" w:rsidP="00ED77BC">
      <w:pPr>
        <w:spacing w:line="360" w:lineRule="auto"/>
        <w:rPr>
          <w:rFonts w:asciiTheme="majorBidi" w:hAnsiTheme="majorBidi" w:cstheme="majorBidi"/>
        </w:rPr>
      </w:pPr>
      <w:r w:rsidRPr="00E924C3">
        <w:rPr>
          <w:rFonts w:asciiTheme="majorBidi" w:hAnsiTheme="majorBidi" w:cstheme="majorBidi"/>
        </w:rPr>
        <w:t xml:space="preserve">We also calculated the sample size needed to detect a significant difference in mortality using just the Shock Index. Based on a regional study by Jouini et al. (2019), mortality was 15% in patients with a normal Shock Index and 47% in those with an elevated Shock Index. Using the </w:t>
      </w:r>
      <w:proofErr w:type="spellStart"/>
      <w:r w:rsidRPr="00E924C3">
        <w:rPr>
          <w:rFonts w:asciiTheme="majorBidi" w:hAnsiTheme="majorBidi" w:cstheme="majorBidi"/>
        </w:rPr>
        <w:t>OpenEpi</w:t>
      </w:r>
      <w:proofErr w:type="spellEnd"/>
      <w:r w:rsidRPr="00E924C3">
        <w:rPr>
          <w:rFonts w:asciiTheme="majorBidi" w:hAnsiTheme="majorBidi" w:cstheme="majorBidi"/>
        </w:rPr>
        <w:t xml:space="preserve"> calculator (95% confidence level, 80% power, and a 4:1 ratio of normal to elevated SI), the minimum required sample size is 108 patients.</w:t>
      </w:r>
    </w:p>
    <w:p w14:paraId="64D581AC" w14:textId="77777777" w:rsidR="00ED77BC" w:rsidRPr="00E924C3" w:rsidRDefault="00ED77BC" w:rsidP="00ED77BC">
      <w:pPr>
        <w:spacing w:line="360" w:lineRule="auto"/>
        <w:rPr>
          <w:rFonts w:asciiTheme="majorBidi" w:hAnsiTheme="majorBidi" w:cstheme="majorBidi"/>
          <w:b/>
          <w:bCs/>
        </w:rPr>
      </w:pPr>
      <w:r w:rsidRPr="00E924C3">
        <w:rPr>
          <w:rFonts w:asciiTheme="majorBidi" w:hAnsiTheme="majorBidi" w:cstheme="majorBidi"/>
          <w:b/>
          <w:bCs/>
        </w:rPr>
        <w:t>Final Sample Size Determination:</w:t>
      </w:r>
    </w:p>
    <w:p w14:paraId="6DDC99F2" w14:textId="4EB6BB24" w:rsidR="00ED77BC" w:rsidRDefault="00ED77BC" w:rsidP="00ED77BC">
      <w:pPr>
        <w:spacing w:line="360" w:lineRule="auto"/>
        <w:rPr>
          <w:rFonts w:asciiTheme="majorBidi" w:hAnsiTheme="majorBidi" w:cstheme="majorBidi"/>
        </w:rPr>
      </w:pPr>
      <w:r w:rsidRPr="00E924C3">
        <w:rPr>
          <w:rFonts w:asciiTheme="majorBidi" w:hAnsiTheme="majorBidi" w:cstheme="majorBidi"/>
        </w:rPr>
        <w:t>Since the multivariable calculation requires 267 patients and the secondary calculation requires 108 patients, we will adopt the larger number. Therefore, the final minimum sample size for this study is 267 patients.</w:t>
      </w:r>
    </w:p>
    <w:p w14:paraId="6B62FCC1" w14:textId="78D62203" w:rsidR="00263F42" w:rsidRDefault="00263F42" w:rsidP="00ED77BC">
      <w:pPr>
        <w:spacing w:before="100" w:beforeAutospacing="1" w:after="100" w:afterAutospacing="1" w:line="360" w:lineRule="auto"/>
        <w:rPr>
          <w:rFonts w:asciiTheme="majorBidi" w:hAnsiTheme="majorBidi" w:cstheme="majorBidi"/>
        </w:rPr>
      </w:pPr>
    </w:p>
    <w:p w14:paraId="43BD629E" w14:textId="537D1147" w:rsidR="00ED77BC" w:rsidRDefault="00ED77BC" w:rsidP="00ED77BC">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000CAE62" wp14:editId="6B67841C">
                <wp:extent cx="5731510" cy="1270"/>
                <wp:effectExtent l="0" t="0" r="21590" b="36830"/>
                <wp:docPr id="16939771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FFEC8F"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3B2A7101" w14:textId="77777777" w:rsidR="00ED77BC" w:rsidRDefault="00ED77BC" w:rsidP="00ED77BC">
      <w:pPr>
        <w:spacing w:before="100" w:beforeAutospacing="1" w:after="100" w:afterAutospacing="1" w:line="360" w:lineRule="auto"/>
        <w:ind w:firstLine="720"/>
        <w:rPr>
          <w:rFonts w:asciiTheme="majorBidi" w:eastAsia="Times New Roman" w:hAnsiTheme="majorBidi" w:cstheme="majorBidi"/>
          <w:kern w:val="0"/>
          <w14:ligatures w14:val="none"/>
        </w:rPr>
      </w:pPr>
    </w:p>
    <w:p w14:paraId="73CCE9BC" w14:textId="77777777" w:rsidR="00ED77BC" w:rsidRDefault="00ED77BC" w:rsidP="00ED77BC">
      <w:pPr>
        <w:spacing w:before="100" w:beforeAutospacing="1" w:after="100" w:afterAutospacing="1" w:line="360" w:lineRule="auto"/>
        <w:ind w:firstLine="720"/>
        <w:rPr>
          <w:rFonts w:asciiTheme="majorBidi" w:eastAsia="Times New Roman" w:hAnsiTheme="majorBidi" w:cstheme="majorBidi"/>
          <w:kern w:val="0"/>
          <w14:ligatures w14:val="none"/>
        </w:rPr>
      </w:pPr>
    </w:p>
    <w:p w14:paraId="1F0F3E10" w14:textId="77777777" w:rsidR="00ED77BC" w:rsidRPr="00263F42" w:rsidRDefault="00ED77BC" w:rsidP="00ED77BC">
      <w:pPr>
        <w:spacing w:before="100" w:beforeAutospacing="1" w:after="100" w:afterAutospacing="1" w:line="360" w:lineRule="auto"/>
        <w:ind w:firstLine="720"/>
        <w:rPr>
          <w:rFonts w:asciiTheme="majorBidi" w:eastAsia="Times New Roman" w:hAnsiTheme="majorBidi" w:cstheme="majorBidi"/>
          <w:kern w:val="0"/>
          <w14:ligatures w14:val="none"/>
        </w:rPr>
      </w:pPr>
    </w:p>
    <w:p w14:paraId="4F87734B" w14:textId="77777777" w:rsidR="00263F42" w:rsidRPr="00263F42" w:rsidRDefault="00263F42" w:rsidP="0082634F">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b/>
          <w:bCs/>
          <w:kern w:val="0"/>
          <w:sz w:val="36"/>
          <w:szCs w:val="36"/>
          <w14:ligatures w14:val="none"/>
        </w:rPr>
        <w:lastRenderedPageBreak/>
        <w:t>4. Statistical Analysis</w:t>
      </w:r>
    </w:p>
    <w:p w14:paraId="59764DCE" w14:textId="57A022EC" w:rsidR="00263F42" w:rsidRPr="00263F42" w:rsidRDefault="00ED77BC" w:rsidP="00DE0332">
      <w:pPr>
        <w:spacing w:after="120" w:line="360" w:lineRule="auto"/>
        <w:rPr>
          <w:rFonts w:asciiTheme="majorBidi" w:eastAsia="Times New Roman" w:hAnsiTheme="majorBidi" w:cstheme="majorBidi"/>
          <w:kern w:val="0"/>
          <w14:ligatures w14:val="none"/>
        </w:rPr>
      </w:pPr>
      <w:r w:rsidRPr="00ED77BC">
        <w:rPr>
          <w:rFonts w:asciiTheme="majorBidi" w:eastAsia="Times New Roman" w:hAnsiTheme="majorBidi" w:cstheme="majorBidi"/>
          <w:kern w:val="0"/>
          <w14:ligatures w14:val="none"/>
        </w:rPr>
        <w:t>​</w:t>
      </w:r>
      <w:r w:rsidR="00DE0332">
        <w:rPr>
          <w:rFonts w:asciiTheme="majorBidi" w:eastAsia="Times New Roman" w:hAnsiTheme="majorBidi" w:cstheme="majorBidi"/>
          <w:kern w:val="0"/>
          <w14:ligatures w14:val="none"/>
        </w:rPr>
        <w:t xml:space="preserve">Not learned yet </w:t>
      </w:r>
    </w:p>
    <w:p w14:paraId="2A93C934" w14:textId="77777777" w:rsidR="00263F42" w:rsidRPr="00263F42" w:rsidRDefault="00263F42" w:rsidP="0082634F">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b/>
          <w:bCs/>
          <w:kern w:val="0"/>
          <w:sz w:val="36"/>
          <w:szCs w:val="36"/>
          <w14:ligatures w14:val="none"/>
        </w:rPr>
        <w:t>5. Ethical Considerations</w:t>
      </w:r>
    </w:p>
    <w:p w14:paraId="029AA2EA" w14:textId="78AA41CF" w:rsidR="00263F42" w:rsidRPr="00263F42" w:rsidRDefault="00263F42" w:rsidP="009F1D38">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Approval will be obtained from the Research Ethics Committee of the Faculty of Medicine, Ain Shams University. Given the retrospective nature of the study relying on medical records, </w:t>
      </w:r>
      <w:r w:rsidR="009F1D38">
        <w:rPr>
          <w:rFonts w:asciiTheme="majorBidi" w:eastAsia="Times New Roman" w:hAnsiTheme="majorBidi" w:cstheme="majorBidi"/>
          <w:kern w:val="0"/>
          <w14:ligatures w14:val="none"/>
        </w:rPr>
        <w:t>a waiver of</w:t>
      </w:r>
      <w:r w:rsidR="008A2B81">
        <w:rPr>
          <w:rFonts w:asciiTheme="majorBidi" w:eastAsia="Times New Roman" w:hAnsiTheme="majorBidi" w:cstheme="majorBidi"/>
          <w:kern w:val="0"/>
          <w14:ligatures w14:val="none"/>
        </w:rPr>
        <w:t xml:space="preserve"> </w:t>
      </w:r>
      <w:r w:rsidRPr="00263F42">
        <w:rPr>
          <w:rFonts w:asciiTheme="majorBidi" w:eastAsia="Times New Roman" w:hAnsiTheme="majorBidi" w:cstheme="majorBidi"/>
          <w:kern w:val="0"/>
          <w14:ligatures w14:val="none"/>
        </w:rPr>
        <w:t>informed consent will be requested. All data will be de-identified to maintain patient confidentiality.</w:t>
      </w:r>
    </w:p>
    <w:p w14:paraId="1B09F392" w14:textId="01871E89" w:rsidR="00ED77BC" w:rsidRDefault="00263F42" w:rsidP="00DE0332">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7D0D591E" wp14:editId="0420D84D">
                <wp:extent cx="5731510" cy="1270"/>
                <wp:effectExtent l="0" t="31750" r="0" b="36830"/>
                <wp:docPr id="78541777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046223"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38F3D8E9" w14:textId="77777777" w:rsidR="00DE0332" w:rsidRPr="00DE0332" w:rsidRDefault="00DE0332" w:rsidP="00DE0332">
      <w:pPr>
        <w:spacing w:after="0" w:line="360" w:lineRule="auto"/>
        <w:rPr>
          <w:rFonts w:asciiTheme="majorBidi" w:eastAsia="Times New Roman" w:hAnsiTheme="majorBidi" w:cstheme="majorBidi"/>
          <w:kern w:val="0"/>
          <w14:ligatures w14:val="none"/>
        </w:rPr>
      </w:pPr>
    </w:p>
    <w:p w14:paraId="27103BA7" w14:textId="70662E45" w:rsidR="00263F42" w:rsidRPr="00263F42" w:rsidRDefault="00263F42" w:rsidP="00ED77BC">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b/>
          <w:bCs/>
          <w:kern w:val="0"/>
          <w:sz w:val="36"/>
          <w:szCs w:val="36"/>
          <w14:ligatures w14:val="none"/>
        </w:rPr>
        <w:t>6. Expected Limitations</w:t>
      </w:r>
    </w:p>
    <w:p w14:paraId="34CD38CD" w14:textId="1F2F693C" w:rsidR="00263F42" w:rsidRDefault="00263F42" w:rsidP="00DE0332">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The retrospective design relies</w:t>
      </w:r>
      <w:r w:rsidR="00974A3A">
        <w:rPr>
          <w:rFonts w:asciiTheme="majorBidi" w:eastAsia="Times New Roman" w:hAnsiTheme="majorBidi" w:cstheme="majorBidi"/>
          <w:kern w:val="0"/>
          <w14:ligatures w14:val="none"/>
        </w:rPr>
        <w:t xml:space="preserve"> </w:t>
      </w:r>
      <w:r w:rsidRPr="00263F42">
        <w:rPr>
          <w:rFonts w:asciiTheme="majorBidi" w:eastAsia="Times New Roman" w:hAnsiTheme="majorBidi" w:cstheme="majorBidi"/>
          <w:kern w:val="0"/>
          <w14:ligatures w14:val="none"/>
        </w:rPr>
        <w:t xml:space="preserve">on the completeness and accuracy of paper-based medical records. </w:t>
      </w:r>
      <w:r w:rsidR="008A2B81">
        <w:rPr>
          <w:rFonts w:asciiTheme="majorBidi" w:eastAsia="Times New Roman" w:hAnsiTheme="majorBidi" w:cstheme="majorBidi"/>
          <w:kern w:val="0"/>
          <w14:ligatures w14:val="none"/>
        </w:rPr>
        <w:t xml:space="preserve">There is limited </w:t>
      </w:r>
      <w:r w:rsidRPr="00263F42">
        <w:rPr>
          <w:rFonts w:asciiTheme="majorBidi" w:eastAsia="Times New Roman" w:hAnsiTheme="majorBidi" w:cstheme="majorBidi"/>
          <w:kern w:val="0"/>
          <w14:ligatures w14:val="none"/>
        </w:rPr>
        <w:t>generalizability</w:t>
      </w:r>
      <w:r w:rsidR="008A2B81">
        <w:rPr>
          <w:rFonts w:asciiTheme="majorBidi" w:eastAsia="Times New Roman" w:hAnsiTheme="majorBidi" w:cstheme="majorBidi"/>
          <w:kern w:val="0"/>
          <w14:ligatures w14:val="none"/>
        </w:rPr>
        <w:t xml:space="preserve"> because the research data collected from one health care </w:t>
      </w:r>
      <w:proofErr w:type="spellStart"/>
      <w:r w:rsidR="008A2B81">
        <w:rPr>
          <w:rFonts w:asciiTheme="majorBidi" w:eastAsia="Times New Roman" w:hAnsiTheme="majorBidi" w:cstheme="majorBidi"/>
          <w:kern w:val="0"/>
          <w14:ligatures w14:val="none"/>
        </w:rPr>
        <w:t>center</w:t>
      </w:r>
      <w:proofErr w:type="spellEnd"/>
      <w:r w:rsidRPr="00263F42">
        <w:rPr>
          <w:rFonts w:asciiTheme="majorBidi" w:eastAsia="Times New Roman" w:hAnsiTheme="majorBidi" w:cstheme="majorBidi"/>
          <w:kern w:val="0"/>
          <w14:ligatures w14:val="none"/>
        </w:rPr>
        <w:t>. Additionally, the study assess</w:t>
      </w:r>
      <w:r w:rsidR="008A2B81">
        <w:rPr>
          <w:rFonts w:asciiTheme="majorBidi" w:eastAsia="Times New Roman" w:hAnsiTheme="majorBidi" w:cstheme="majorBidi"/>
          <w:kern w:val="0"/>
          <w14:ligatures w14:val="none"/>
        </w:rPr>
        <w:t>es</w:t>
      </w:r>
      <w:r w:rsidRPr="00263F42">
        <w:rPr>
          <w:rFonts w:asciiTheme="majorBidi" w:eastAsia="Times New Roman" w:hAnsiTheme="majorBidi" w:cstheme="majorBidi"/>
          <w:kern w:val="0"/>
          <w14:ligatures w14:val="none"/>
        </w:rPr>
        <w:t xml:space="preserve"> only the initial serum lactate level rather than serial lactate clearance due to anticipated inconsistencies in documentation.</w:t>
      </w:r>
    </w:p>
    <w:p w14:paraId="209E2487" w14:textId="5C4BE027" w:rsidR="00D02B28" w:rsidRPr="00263F42" w:rsidRDefault="00D02B28" w:rsidP="0082634F">
      <w:pPr>
        <w:spacing w:before="100" w:beforeAutospacing="1" w:after="100" w:afterAutospacing="1" w:line="36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w:t>
      </w:r>
      <w:r w:rsidRPr="00D02B28">
        <w:rPr>
          <w:rFonts w:asciiTheme="majorBidi" w:eastAsia="Times New Roman" w:hAnsiTheme="majorBidi" w:cstheme="majorBidi"/>
          <w:b/>
          <w:bCs/>
          <w:kern w:val="0"/>
          <w:sz w:val="36"/>
          <w:szCs w:val="36"/>
          <w14:ligatures w14:val="none"/>
        </w:rPr>
        <w:t>7. Funding:</w:t>
      </w:r>
      <w:r>
        <w:rPr>
          <w:rFonts w:asciiTheme="majorBidi" w:eastAsia="Times New Roman" w:hAnsiTheme="majorBidi" w:cstheme="majorBidi"/>
          <w:kern w:val="0"/>
          <w14:ligatures w14:val="none"/>
        </w:rPr>
        <w:t xml:space="preserve"> This study does not receive any external funding. All costs related to data collection will be covered by the research team. The funders had no role in the study design, data collection, analysis, interpretation, or manuscript preparation.</w:t>
      </w:r>
    </w:p>
    <w:p w14:paraId="11B4E30C" w14:textId="77777777" w:rsidR="00985832" w:rsidRDefault="00263F42" w:rsidP="00A8061F">
      <w:pPr>
        <w:spacing w:after="0" w:line="360" w:lineRule="auto"/>
        <w:rPr>
          <w:rFonts w:asciiTheme="majorBidi" w:eastAsia="Times New Roman" w:hAnsiTheme="majorBidi" w:cstheme="majorBidi"/>
          <w:b/>
          <w:bCs/>
          <w:kern w:val="0"/>
          <w:sz w:val="36"/>
          <w:szCs w:val="36"/>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7B16B3F2" wp14:editId="31025109">
                <wp:extent cx="5731510" cy="1270"/>
                <wp:effectExtent l="0" t="31750" r="0" b="36830"/>
                <wp:docPr id="38332063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693425"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6718F3B4" w14:textId="77777777" w:rsidR="00985832" w:rsidRDefault="00985832">
      <w:pPr>
        <w:rPr>
          <w:rFonts w:asciiTheme="majorBidi" w:eastAsia="Times New Roman" w:hAnsiTheme="majorBidi" w:cstheme="majorBidi"/>
          <w:b/>
          <w:bCs/>
          <w:kern w:val="0"/>
          <w:sz w:val="36"/>
          <w:szCs w:val="36"/>
          <w14:ligatures w14:val="none"/>
        </w:rPr>
      </w:pPr>
      <w:r>
        <w:rPr>
          <w:rFonts w:asciiTheme="majorBidi" w:eastAsia="Times New Roman" w:hAnsiTheme="majorBidi" w:cstheme="majorBidi"/>
          <w:b/>
          <w:bCs/>
          <w:kern w:val="0"/>
          <w:sz w:val="36"/>
          <w:szCs w:val="36"/>
          <w14:ligatures w14:val="none"/>
        </w:rPr>
        <w:br w:type="page"/>
      </w:r>
    </w:p>
    <w:p w14:paraId="26102DE4" w14:textId="55BD43AB" w:rsidR="00B24F38" w:rsidRPr="00263F42" w:rsidRDefault="00D02B28" w:rsidP="00B24F38">
      <w:pPr>
        <w:spacing w:after="0" w:line="360" w:lineRule="auto"/>
        <w:rPr>
          <w:rFonts w:asciiTheme="majorBidi" w:eastAsia="Times New Roman" w:hAnsiTheme="majorBidi" w:cstheme="majorBidi"/>
          <w:b/>
          <w:bCs/>
          <w:kern w:val="0"/>
          <w:sz w:val="36"/>
          <w:szCs w:val="36"/>
          <w14:ligatures w14:val="none"/>
        </w:rPr>
      </w:pPr>
      <w:r>
        <w:rPr>
          <w:rFonts w:asciiTheme="majorBidi" w:eastAsia="Times New Roman" w:hAnsiTheme="majorBidi" w:cstheme="majorBidi"/>
          <w:b/>
          <w:bCs/>
          <w:kern w:val="0"/>
          <w:sz w:val="36"/>
          <w:szCs w:val="36"/>
          <w14:ligatures w14:val="none"/>
        </w:rPr>
        <w:lastRenderedPageBreak/>
        <w:t>8</w:t>
      </w:r>
      <w:r w:rsidR="00263F42" w:rsidRPr="00263F42">
        <w:rPr>
          <w:rFonts w:asciiTheme="majorBidi" w:eastAsia="Times New Roman" w:hAnsiTheme="majorBidi" w:cstheme="majorBidi"/>
          <w:b/>
          <w:bCs/>
          <w:kern w:val="0"/>
          <w:sz w:val="36"/>
          <w:szCs w:val="36"/>
          <w14:ligatures w14:val="none"/>
        </w:rPr>
        <w:t>. References</w:t>
      </w:r>
    </w:p>
    <w:p w14:paraId="6DC361E5" w14:textId="637D37BF" w:rsidR="00B24F38" w:rsidRPr="005126C5" w:rsidRDefault="00B24F38" w:rsidP="005126C5">
      <w:pPr>
        <w:pStyle w:val="ListParagraph"/>
        <w:numPr>
          <w:ilvl w:val="0"/>
          <w:numId w:val="7"/>
        </w:numPr>
        <w:spacing w:after="0" w:line="360" w:lineRule="auto"/>
        <w:rPr>
          <w:rFonts w:asciiTheme="majorBidi" w:eastAsia="Times New Roman" w:hAnsiTheme="majorBidi" w:cstheme="majorBidi"/>
          <w:kern w:val="0"/>
          <w14:ligatures w14:val="none"/>
        </w:rPr>
      </w:pPr>
      <w:proofErr w:type="spellStart"/>
      <w:r w:rsidRPr="005126C5">
        <w:rPr>
          <w:rFonts w:asciiTheme="majorBidi" w:eastAsia="Times New Roman" w:hAnsiTheme="majorBidi" w:cstheme="majorBidi"/>
          <w:kern w:val="0"/>
          <w14:ligatures w14:val="none"/>
        </w:rPr>
        <w:t>Allgöwer</w:t>
      </w:r>
      <w:proofErr w:type="spellEnd"/>
      <w:r w:rsidRPr="005126C5">
        <w:rPr>
          <w:rFonts w:asciiTheme="majorBidi" w:eastAsia="Times New Roman" w:hAnsiTheme="majorBidi" w:cstheme="majorBidi"/>
          <w:kern w:val="0"/>
          <w14:ligatures w14:val="none"/>
        </w:rPr>
        <w:t xml:space="preserve"> M, Burri C. Shock index. </w:t>
      </w:r>
      <w:proofErr w:type="spellStart"/>
      <w:r w:rsidRPr="005126C5">
        <w:rPr>
          <w:rFonts w:asciiTheme="majorBidi" w:eastAsia="Times New Roman" w:hAnsiTheme="majorBidi" w:cstheme="majorBidi"/>
          <w:kern w:val="0"/>
          <w14:ligatures w14:val="none"/>
        </w:rPr>
        <w:t>Dtsch</w:t>
      </w:r>
      <w:proofErr w:type="spellEnd"/>
      <w:r w:rsidRPr="005126C5">
        <w:rPr>
          <w:rFonts w:asciiTheme="majorBidi" w:eastAsia="Times New Roman" w:hAnsiTheme="majorBidi" w:cstheme="majorBidi"/>
          <w:kern w:val="0"/>
          <w14:ligatures w14:val="none"/>
        </w:rPr>
        <w:t xml:space="preserve"> Med </w:t>
      </w:r>
      <w:proofErr w:type="spellStart"/>
      <w:r w:rsidRPr="005126C5">
        <w:rPr>
          <w:rFonts w:asciiTheme="majorBidi" w:eastAsia="Times New Roman" w:hAnsiTheme="majorBidi" w:cstheme="majorBidi"/>
          <w:kern w:val="0"/>
          <w14:ligatures w14:val="none"/>
        </w:rPr>
        <w:t>Wochenschr</w:t>
      </w:r>
      <w:proofErr w:type="spellEnd"/>
      <w:r w:rsidRPr="005126C5">
        <w:rPr>
          <w:rFonts w:asciiTheme="majorBidi" w:eastAsia="Times New Roman" w:hAnsiTheme="majorBidi" w:cstheme="majorBidi"/>
          <w:kern w:val="0"/>
          <w14:ligatures w14:val="none"/>
        </w:rPr>
        <w:t>. 1967;92(43):1947-1950.</w:t>
      </w:r>
    </w:p>
    <w:p w14:paraId="7B8F8792" w14:textId="58EC15D8"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Baker SP, O'Neill B, Haddon W Jr, Long WB. The Injury Severity Score: a method for describing patients with multiple injuries and evaluating emergency care. J Trauma. 1974;14(3):187-196.</w:t>
      </w:r>
    </w:p>
    <w:p w14:paraId="4C50F622" w14:textId="5E351194"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Callaway DW, Shapiro NI, </w:t>
      </w:r>
      <w:proofErr w:type="spellStart"/>
      <w:r w:rsidRPr="005126C5">
        <w:rPr>
          <w:rFonts w:asciiTheme="majorBidi" w:eastAsia="Times New Roman" w:hAnsiTheme="majorBidi" w:cstheme="majorBidi"/>
          <w:kern w:val="0"/>
          <w14:ligatures w14:val="none"/>
        </w:rPr>
        <w:t>Donnino</w:t>
      </w:r>
      <w:proofErr w:type="spellEnd"/>
      <w:r w:rsidRPr="005126C5">
        <w:rPr>
          <w:rFonts w:asciiTheme="majorBidi" w:eastAsia="Times New Roman" w:hAnsiTheme="majorBidi" w:cstheme="majorBidi"/>
          <w:kern w:val="0"/>
          <w14:ligatures w14:val="none"/>
        </w:rPr>
        <w:t xml:space="preserve"> MW, Baker C, Rosen CL. Serum lactate and base deficit as predictors of mortality in normotensive elderly blunt trauma patients. J Trauma. 2009;66(4):1040-1044.</w:t>
      </w:r>
    </w:p>
    <w:p w14:paraId="58FF4733" w14:textId="0FCB229D"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Kruse O, Grunnet N, Barfod C. Blood lactate as a predictor for in-hospital mortality in patients admitted acutely to hospital: a systematic review. Scand J Trauma </w:t>
      </w:r>
      <w:proofErr w:type="spellStart"/>
      <w:r w:rsidRPr="005126C5">
        <w:rPr>
          <w:rFonts w:asciiTheme="majorBidi" w:eastAsia="Times New Roman" w:hAnsiTheme="majorBidi" w:cstheme="majorBidi"/>
          <w:kern w:val="0"/>
          <w14:ligatures w14:val="none"/>
        </w:rPr>
        <w:t>Resusc</w:t>
      </w:r>
      <w:proofErr w:type="spellEnd"/>
      <w:r w:rsidRPr="005126C5">
        <w:rPr>
          <w:rFonts w:asciiTheme="majorBidi" w:eastAsia="Times New Roman" w:hAnsiTheme="majorBidi" w:cstheme="majorBidi"/>
          <w:kern w:val="0"/>
          <w14:ligatures w14:val="none"/>
        </w:rPr>
        <w:t xml:space="preserve"> Emerg Med. </w:t>
      </w:r>
      <w:proofErr w:type="gramStart"/>
      <w:r w:rsidRPr="005126C5">
        <w:rPr>
          <w:rFonts w:asciiTheme="majorBidi" w:eastAsia="Times New Roman" w:hAnsiTheme="majorBidi" w:cstheme="majorBidi"/>
          <w:kern w:val="0"/>
          <w14:ligatures w14:val="none"/>
        </w:rPr>
        <w:t>2011;19:74</w:t>
      </w:r>
      <w:proofErr w:type="gramEnd"/>
      <w:r w:rsidRPr="005126C5">
        <w:rPr>
          <w:rFonts w:asciiTheme="majorBidi" w:eastAsia="Times New Roman" w:hAnsiTheme="majorBidi" w:cstheme="majorBidi"/>
          <w:kern w:val="0"/>
          <w14:ligatures w14:val="none"/>
        </w:rPr>
        <w:t>.</w:t>
      </w:r>
    </w:p>
    <w:p w14:paraId="545B48FE" w14:textId="1608D720"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Montoya KF, Charry JD, Calle-Toro JS, Núñez LR, Poveda G. Shock index as a mortality predictor in patients with acute polytrauma. J Acute Dis. 2015;4(3):202-204.</w:t>
      </w:r>
    </w:p>
    <w:p w14:paraId="4D0C0D77" w14:textId="6EEEED93"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Mutschler M, Nienaber U, </w:t>
      </w:r>
      <w:proofErr w:type="spellStart"/>
      <w:r w:rsidRPr="005126C5">
        <w:rPr>
          <w:rFonts w:asciiTheme="majorBidi" w:eastAsia="Times New Roman" w:hAnsiTheme="majorBidi" w:cstheme="majorBidi"/>
          <w:kern w:val="0"/>
          <w14:ligatures w14:val="none"/>
        </w:rPr>
        <w:t>Münzberg</w:t>
      </w:r>
      <w:proofErr w:type="spellEnd"/>
      <w:r w:rsidRPr="005126C5">
        <w:rPr>
          <w:rFonts w:asciiTheme="majorBidi" w:eastAsia="Times New Roman" w:hAnsiTheme="majorBidi" w:cstheme="majorBidi"/>
          <w:kern w:val="0"/>
          <w14:ligatures w14:val="none"/>
        </w:rPr>
        <w:t xml:space="preserve"> M, et al. The Shock Index revisited — a fast guide to transfusion requirement? A retrospective analysis on 21,853 patients derived from the </w:t>
      </w:r>
      <w:proofErr w:type="spellStart"/>
      <w:r w:rsidRPr="005126C5">
        <w:rPr>
          <w:rFonts w:asciiTheme="majorBidi" w:eastAsia="Times New Roman" w:hAnsiTheme="majorBidi" w:cstheme="majorBidi"/>
          <w:kern w:val="0"/>
          <w14:ligatures w14:val="none"/>
        </w:rPr>
        <w:t>TraumaRegister</w:t>
      </w:r>
      <w:proofErr w:type="spellEnd"/>
      <w:r w:rsidRPr="005126C5">
        <w:rPr>
          <w:rFonts w:asciiTheme="majorBidi" w:eastAsia="Times New Roman" w:hAnsiTheme="majorBidi" w:cstheme="majorBidi"/>
          <w:kern w:val="0"/>
          <w14:ligatures w14:val="none"/>
        </w:rPr>
        <w:t xml:space="preserve"> DGU. Crit Care. 2013;17(4):R172.</w:t>
      </w:r>
    </w:p>
    <w:p w14:paraId="626D7C39" w14:textId="29F0C0EF"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Siddiqui NUS, Ahmed M, </w:t>
      </w:r>
      <w:proofErr w:type="spellStart"/>
      <w:r w:rsidRPr="005126C5">
        <w:rPr>
          <w:rFonts w:asciiTheme="majorBidi" w:eastAsia="Times New Roman" w:hAnsiTheme="majorBidi" w:cstheme="majorBidi"/>
          <w:kern w:val="0"/>
          <w14:ligatures w14:val="none"/>
        </w:rPr>
        <w:t>Sikhandar</w:t>
      </w:r>
      <w:proofErr w:type="spellEnd"/>
      <w:r w:rsidRPr="005126C5">
        <w:rPr>
          <w:rFonts w:asciiTheme="majorBidi" w:eastAsia="Times New Roman" w:hAnsiTheme="majorBidi" w:cstheme="majorBidi"/>
          <w:kern w:val="0"/>
          <w14:ligatures w14:val="none"/>
        </w:rPr>
        <w:t xml:space="preserve"> S, et al. Correlation of serum lactate and shock index as mortality predictor in polytrauma patients. Pak J Health Sci. 2024;5(9).</w:t>
      </w:r>
    </w:p>
    <w:p w14:paraId="1D43896D" w14:textId="0D2D4EE8"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World Health Organization. Global Health Estimates 2020. Geneva: WHO; 2020.</w:t>
      </w:r>
    </w:p>
    <w:p w14:paraId="42FBD198" w14:textId="328BE4C2"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Jouini S, Jebali A, </w:t>
      </w:r>
      <w:proofErr w:type="spellStart"/>
      <w:r w:rsidRPr="005126C5">
        <w:rPr>
          <w:rFonts w:asciiTheme="majorBidi" w:eastAsia="Times New Roman" w:hAnsiTheme="majorBidi" w:cstheme="majorBidi"/>
          <w:kern w:val="0"/>
          <w14:ligatures w14:val="none"/>
        </w:rPr>
        <w:t>Hedhli</w:t>
      </w:r>
      <w:proofErr w:type="spellEnd"/>
      <w:r w:rsidRPr="005126C5">
        <w:rPr>
          <w:rFonts w:asciiTheme="majorBidi" w:eastAsia="Times New Roman" w:hAnsiTheme="majorBidi" w:cstheme="majorBidi"/>
          <w:kern w:val="0"/>
          <w14:ligatures w14:val="none"/>
        </w:rPr>
        <w:t xml:space="preserve"> H, Ben Kaddour R, Mrabet A, </w:t>
      </w:r>
      <w:proofErr w:type="spellStart"/>
      <w:r w:rsidRPr="005126C5">
        <w:rPr>
          <w:rFonts w:asciiTheme="majorBidi" w:eastAsia="Times New Roman" w:hAnsiTheme="majorBidi" w:cstheme="majorBidi"/>
          <w:kern w:val="0"/>
          <w14:ligatures w14:val="none"/>
        </w:rPr>
        <w:t>Hebaieb</w:t>
      </w:r>
      <w:proofErr w:type="spellEnd"/>
      <w:r w:rsidRPr="005126C5">
        <w:rPr>
          <w:rFonts w:asciiTheme="majorBidi" w:eastAsia="Times New Roman" w:hAnsiTheme="majorBidi" w:cstheme="majorBidi"/>
          <w:kern w:val="0"/>
          <w14:ligatures w14:val="none"/>
        </w:rPr>
        <w:t xml:space="preserve"> F. Valeur </w:t>
      </w:r>
      <w:proofErr w:type="spellStart"/>
      <w:r w:rsidRPr="005126C5">
        <w:rPr>
          <w:rFonts w:asciiTheme="majorBidi" w:eastAsia="Times New Roman" w:hAnsiTheme="majorBidi" w:cstheme="majorBidi"/>
          <w:kern w:val="0"/>
          <w14:ligatures w14:val="none"/>
        </w:rPr>
        <w:t>pronostique</w:t>
      </w:r>
      <w:proofErr w:type="spellEnd"/>
      <w:r w:rsidRPr="005126C5">
        <w:rPr>
          <w:rFonts w:asciiTheme="majorBidi" w:eastAsia="Times New Roman" w:hAnsiTheme="majorBidi" w:cstheme="majorBidi"/>
          <w:kern w:val="0"/>
          <w14:ligatures w14:val="none"/>
        </w:rPr>
        <w:t xml:space="preserve"> du shock index ≥ 1 chez les </w:t>
      </w:r>
      <w:proofErr w:type="spellStart"/>
      <w:r w:rsidRPr="005126C5">
        <w:rPr>
          <w:rFonts w:asciiTheme="majorBidi" w:eastAsia="Times New Roman" w:hAnsiTheme="majorBidi" w:cstheme="majorBidi"/>
          <w:kern w:val="0"/>
          <w14:ligatures w14:val="none"/>
        </w:rPr>
        <w:t>traumatisés</w:t>
      </w:r>
      <w:proofErr w:type="spellEnd"/>
      <w:r w:rsidRPr="005126C5">
        <w:rPr>
          <w:rFonts w:asciiTheme="majorBidi" w:eastAsia="Times New Roman" w:hAnsiTheme="majorBidi" w:cstheme="majorBidi"/>
          <w:kern w:val="0"/>
          <w14:ligatures w14:val="none"/>
        </w:rPr>
        <w:t xml:space="preserve"> graves aux urgences. Tunis Med. 2019;97(6):802-807.</w:t>
      </w:r>
    </w:p>
    <w:p w14:paraId="51A49A7F" w14:textId="7B57130C"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Peduzzi P, </w:t>
      </w:r>
      <w:proofErr w:type="spellStart"/>
      <w:r w:rsidRPr="005126C5">
        <w:rPr>
          <w:rFonts w:asciiTheme="majorBidi" w:eastAsia="Times New Roman" w:hAnsiTheme="majorBidi" w:cstheme="majorBidi"/>
          <w:kern w:val="0"/>
          <w14:ligatures w14:val="none"/>
        </w:rPr>
        <w:t>Concato</w:t>
      </w:r>
      <w:proofErr w:type="spellEnd"/>
      <w:r w:rsidRPr="005126C5">
        <w:rPr>
          <w:rFonts w:asciiTheme="majorBidi" w:eastAsia="Times New Roman" w:hAnsiTheme="majorBidi" w:cstheme="majorBidi"/>
          <w:kern w:val="0"/>
          <w14:ligatures w14:val="none"/>
        </w:rPr>
        <w:t xml:space="preserve"> J, Kemper E, Holford TR, Feinstein AR. A simulation study of the number of events per variable in logistic regression analysis. J Clin </w:t>
      </w:r>
      <w:proofErr w:type="spellStart"/>
      <w:r w:rsidRPr="005126C5">
        <w:rPr>
          <w:rFonts w:asciiTheme="majorBidi" w:eastAsia="Times New Roman" w:hAnsiTheme="majorBidi" w:cstheme="majorBidi"/>
          <w:kern w:val="0"/>
          <w14:ligatures w14:val="none"/>
        </w:rPr>
        <w:t>Epidemiol</w:t>
      </w:r>
      <w:proofErr w:type="spellEnd"/>
      <w:r w:rsidRPr="005126C5">
        <w:rPr>
          <w:rFonts w:asciiTheme="majorBidi" w:eastAsia="Times New Roman" w:hAnsiTheme="majorBidi" w:cstheme="majorBidi"/>
          <w:kern w:val="0"/>
          <w14:ligatures w14:val="none"/>
        </w:rPr>
        <w:t>. 1996;49(12):1373-1379.</w:t>
      </w:r>
    </w:p>
    <w:p w14:paraId="32C7D1A7" w14:textId="074CD9C9"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 xml:space="preserve">Çay F, Çetinkaya HB. The usability of shock index and lactate in predicting mortality in </w:t>
      </w:r>
      <w:proofErr w:type="spellStart"/>
      <w:r w:rsidRPr="005126C5">
        <w:rPr>
          <w:rFonts w:asciiTheme="majorBidi" w:eastAsia="Times New Roman" w:hAnsiTheme="majorBidi" w:cstheme="majorBidi"/>
          <w:kern w:val="0"/>
          <w14:ligatures w14:val="none"/>
        </w:rPr>
        <w:t>multitrauma</w:t>
      </w:r>
      <w:proofErr w:type="spellEnd"/>
      <w:r w:rsidRPr="005126C5">
        <w:rPr>
          <w:rFonts w:asciiTheme="majorBidi" w:eastAsia="Times New Roman" w:hAnsiTheme="majorBidi" w:cstheme="majorBidi"/>
          <w:kern w:val="0"/>
          <w14:ligatures w14:val="none"/>
        </w:rPr>
        <w:t xml:space="preserve"> patients presenting to the emergency department. Anatol Curr Med J. 2022;4(2):185-189.</w:t>
      </w:r>
    </w:p>
    <w:p w14:paraId="35CDCF14" w14:textId="326EC66E" w:rsidR="00B24F38" w:rsidRPr="005126C5" w:rsidRDefault="00B24F38" w:rsidP="005126C5">
      <w:pPr>
        <w:pStyle w:val="ListParagraph"/>
        <w:numPr>
          <w:ilvl w:val="0"/>
          <w:numId w:val="7"/>
        </w:numPr>
        <w:spacing w:after="120" w:line="360" w:lineRule="auto"/>
        <w:rPr>
          <w:rFonts w:asciiTheme="majorBidi" w:eastAsia="Times New Roman" w:hAnsiTheme="majorBidi" w:cstheme="majorBidi"/>
          <w:kern w:val="0"/>
          <w14:ligatures w14:val="none"/>
        </w:rPr>
      </w:pPr>
      <w:r w:rsidRPr="005126C5">
        <w:rPr>
          <w:rFonts w:asciiTheme="majorBidi" w:eastAsia="Times New Roman" w:hAnsiTheme="majorBidi" w:cstheme="majorBidi"/>
          <w:kern w:val="0"/>
          <w14:ligatures w14:val="none"/>
        </w:rPr>
        <w:t>Rodríguez García C, Orozco AP, Rodríguez Herrera DA, Yuritzi L. Shock index and lactate level as prognostic factors of 24-hour mortality in polytraumatized patients in emergency services. Int J Med Sci Clin Res Stud. 2024;4(2):184-186.</w:t>
      </w:r>
    </w:p>
    <w:p w14:paraId="27FE2622" w14:textId="58D9C7AB" w:rsidR="00ED32FE" w:rsidRDefault="00263F42" w:rsidP="00A8061F">
      <w:pPr>
        <w:spacing w:after="0" w:line="360" w:lineRule="auto"/>
        <w:rPr>
          <w:rFonts w:asciiTheme="majorBidi" w:eastAsia="Times New Roman" w:hAnsiTheme="majorBidi" w:cstheme="majorBidi"/>
          <w:kern w:val="0"/>
          <w:rtl/>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40EBA55B" wp14:editId="2B335ACB">
                <wp:extent cx="5731510" cy="1270"/>
                <wp:effectExtent l="0" t="31750" r="0" b="36830"/>
                <wp:docPr id="15533038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509D16"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10527347" w14:textId="39DCBB2A" w:rsidR="00985832" w:rsidRDefault="00985832">
      <w:pPr>
        <w:rPr>
          <w:rFonts w:asciiTheme="majorBidi" w:eastAsia="Times New Roman" w:hAnsiTheme="majorBidi" w:cstheme="majorBidi"/>
          <w:b/>
          <w:bCs/>
          <w:kern w:val="0"/>
          <w:sz w:val="36"/>
          <w:szCs w:val="36"/>
          <w14:ligatures w14:val="none"/>
        </w:rPr>
      </w:pPr>
    </w:p>
    <w:p w14:paraId="6F33443D" w14:textId="3B4B1C10" w:rsidR="00263F42" w:rsidRPr="00FC7D8F" w:rsidRDefault="00263F42" w:rsidP="0082634F">
      <w:pPr>
        <w:spacing w:before="100" w:beforeAutospacing="1" w:after="100" w:afterAutospacing="1" w:line="360" w:lineRule="auto"/>
        <w:outlineLvl w:val="1"/>
        <w:rPr>
          <w:rFonts w:asciiTheme="majorBidi" w:eastAsia="Times New Roman" w:hAnsiTheme="majorBidi" w:cstheme="majorBidi"/>
          <w:b/>
          <w:bCs/>
          <w:kern w:val="0"/>
          <w:sz w:val="28"/>
          <w:szCs w:val="28"/>
          <w14:ligatures w14:val="none"/>
        </w:rPr>
      </w:pPr>
      <w:r w:rsidRPr="00263F42">
        <w:rPr>
          <w:rFonts w:asciiTheme="majorBidi" w:eastAsia="Times New Roman" w:hAnsiTheme="majorBidi" w:cstheme="majorBidi"/>
          <w:b/>
          <w:bCs/>
          <w:kern w:val="0"/>
          <w:sz w:val="36"/>
          <w:szCs w:val="36"/>
          <w14:ligatures w14:val="none"/>
        </w:rPr>
        <w:t>Appendix A: Data Collection Form</w:t>
      </w:r>
      <w:r w:rsidR="00C9393D">
        <w:rPr>
          <w:rFonts w:asciiTheme="majorBidi" w:eastAsia="Times New Roman" w:hAnsiTheme="majorBidi" w:cstheme="majorBidi"/>
          <w:b/>
          <w:bCs/>
          <w:kern w:val="0"/>
          <w:sz w:val="36"/>
          <w:szCs w:val="36"/>
          <w14:ligatures w14:val="none"/>
        </w:rPr>
        <w:br/>
      </w:r>
      <w:r w:rsidR="00C9393D" w:rsidRPr="00C9393D">
        <w:rPr>
          <w:rFonts w:asciiTheme="majorBidi" w:eastAsia="Times New Roman" w:hAnsiTheme="majorBidi" w:cstheme="majorBidi"/>
          <w:b/>
          <w:bCs/>
          <w:kern w:val="0"/>
          <w:sz w:val="28"/>
          <w:szCs w:val="28"/>
          <w:u w:val="single"/>
          <w14:ligatures w14:val="none"/>
        </w:rPr>
        <w:t>this is the pattern only but the real data collection form is attached as an html file to be electronic and accurate</w:t>
      </w:r>
      <w:r w:rsidR="00C9393D">
        <w:rPr>
          <w:rFonts w:asciiTheme="majorBidi" w:eastAsia="Times New Roman" w:hAnsiTheme="majorBidi" w:cstheme="majorBidi"/>
          <w:b/>
          <w:bCs/>
          <w:kern w:val="0"/>
          <w:sz w:val="28"/>
          <w:szCs w:val="28"/>
          <w14:ligatures w14:val="none"/>
        </w:rPr>
        <w:t xml:space="preserve"> </w:t>
      </w:r>
      <w:r w:rsidR="00C9393D" w:rsidRPr="00FC7D8F">
        <w:rPr>
          <w:rFonts w:asciiTheme="majorBidi" w:eastAsia="Times New Roman" w:hAnsiTheme="majorBidi" w:cstheme="majorBidi"/>
          <w:b/>
          <w:bCs/>
          <w:kern w:val="0"/>
          <w:sz w:val="28"/>
          <w:szCs w:val="28"/>
          <w14:ligatures w14:val="none"/>
        </w:rPr>
        <w:t>(</w:t>
      </w:r>
      <w:r w:rsidR="00C9393D" w:rsidRPr="00FC7D8F">
        <w:rPr>
          <w:rFonts w:asciiTheme="majorBidi" w:eastAsia="Times New Roman" w:hAnsiTheme="majorBidi" w:cstheme="majorBidi"/>
          <w:b/>
          <w:bCs/>
          <w:i/>
          <w:iCs/>
          <w:kern w:val="0"/>
          <w:sz w:val="28"/>
          <w:szCs w:val="28"/>
          <w14:ligatures w14:val="none"/>
        </w:rPr>
        <w:t>Data collection sheet of Shock index &amp; Serum lactate res</w:t>
      </w:r>
      <w:r w:rsidR="005126C5" w:rsidRPr="00FC7D8F">
        <w:rPr>
          <w:rFonts w:asciiTheme="majorBidi" w:eastAsia="Times New Roman" w:hAnsiTheme="majorBidi" w:cstheme="majorBidi"/>
          <w:b/>
          <w:bCs/>
          <w:i/>
          <w:iCs/>
          <w:kern w:val="0"/>
          <w:sz w:val="28"/>
          <w:szCs w:val="28"/>
          <w14:ligatures w14:val="none"/>
        </w:rPr>
        <w:t>e</w:t>
      </w:r>
      <w:r w:rsidR="00C9393D" w:rsidRPr="00FC7D8F">
        <w:rPr>
          <w:rFonts w:asciiTheme="majorBidi" w:eastAsia="Times New Roman" w:hAnsiTheme="majorBidi" w:cstheme="majorBidi"/>
          <w:b/>
          <w:bCs/>
          <w:i/>
          <w:iCs/>
          <w:kern w:val="0"/>
          <w:sz w:val="28"/>
          <w:szCs w:val="28"/>
          <w14:ligatures w14:val="none"/>
        </w:rPr>
        <w:t>arch.html</w:t>
      </w:r>
      <w:r w:rsidR="00C9393D" w:rsidRPr="00FC7D8F">
        <w:rPr>
          <w:rFonts w:asciiTheme="majorBidi" w:eastAsia="Times New Roman" w:hAnsiTheme="majorBidi" w:cstheme="majorBidi"/>
          <w:b/>
          <w:bCs/>
          <w:kern w:val="0"/>
          <w:sz w:val="28"/>
          <w:szCs w:val="28"/>
          <w14:ligatures w14:val="none"/>
        </w:rPr>
        <w:t>)</w:t>
      </w:r>
    </w:p>
    <w:p w14:paraId="1CCDB9A5" w14:textId="64CA2DC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Study Title:</w:t>
      </w:r>
      <w:r w:rsidRPr="00263F42">
        <w:rPr>
          <w:rFonts w:asciiTheme="majorBidi" w:eastAsia="Times New Roman" w:hAnsiTheme="majorBidi" w:cstheme="majorBidi"/>
          <w:kern w:val="0"/>
          <w14:ligatures w14:val="none"/>
        </w:rPr>
        <w:t xml:space="preserve"> Shock Index and Serum Lactate as Predictors of In-Hospital Mortality in Adult Polytrauma Patients</w:t>
      </w:r>
    </w:p>
    <w:p w14:paraId="1B57AE8F"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Patient Code:</w:t>
      </w:r>
      <w:r w:rsidRPr="00263F42">
        <w:rPr>
          <w:rFonts w:asciiTheme="majorBidi" w:eastAsia="Times New Roman" w:hAnsiTheme="majorBidi" w:cstheme="majorBidi"/>
          <w:kern w:val="0"/>
          <w14:ligatures w14:val="none"/>
        </w:rPr>
        <w:t xml:space="preserve"> ________________________ </w:t>
      </w:r>
      <w:r w:rsidRPr="00263F42">
        <w:rPr>
          <w:rFonts w:asciiTheme="majorBidi" w:eastAsia="Times New Roman" w:hAnsiTheme="majorBidi" w:cstheme="majorBidi"/>
          <w:i/>
          <w:iCs/>
          <w:kern w:val="0"/>
          <w14:ligatures w14:val="none"/>
        </w:rPr>
        <w:t>(No identifiable information)</w:t>
      </w:r>
    </w:p>
    <w:p w14:paraId="0DD05F98"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Eligibility:</w:t>
      </w:r>
      <w:r w:rsidRPr="00263F42">
        <w:rPr>
          <w:rFonts w:asciiTheme="majorBidi" w:eastAsia="Times New Roman" w:hAnsiTheme="majorBidi" w:cstheme="majorBidi"/>
          <w:kern w:val="0"/>
          <w14:ligatures w14:val="none"/>
        </w:rPr>
        <w:t xml:space="preserve">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Eligible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Excluded — Reason: ________________________</w:t>
      </w:r>
    </w:p>
    <w:p w14:paraId="0DF0142D"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6C2EE334" wp14:editId="5DCF2A57">
                <wp:extent cx="5731510" cy="1270"/>
                <wp:effectExtent l="0" t="31750" r="0" b="36830"/>
                <wp:docPr id="68887998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5E21AC"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4E42C08A"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Section A — Demographic and Trauma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5909"/>
      </w:tblGrid>
      <w:tr w:rsidR="00263F42" w:rsidRPr="00263F42" w14:paraId="14116DB8" w14:textId="77777777">
        <w:trPr>
          <w:tblHeader/>
          <w:tblCellSpacing w:w="15" w:type="dxa"/>
        </w:trPr>
        <w:tc>
          <w:tcPr>
            <w:tcW w:w="0" w:type="auto"/>
            <w:vAlign w:val="center"/>
            <w:hideMark/>
          </w:tcPr>
          <w:p w14:paraId="71E13ED4"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Variable</w:t>
            </w:r>
          </w:p>
        </w:tc>
        <w:tc>
          <w:tcPr>
            <w:tcW w:w="0" w:type="auto"/>
            <w:vAlign w:val="center"/>
            <w:hideMark/>
          </w:tcPr>
          <w:p w14:paraId="69343CE8"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Response</w:t>
            </w:r>
          </w:p>
        </w:tc>
      </w:tr>
      <w:tr w:rsidR="00263F42" w:rsidRPr="00263F42" w14:paraId="5F489003" w14:textId="77777777">
        <w:trPr>
          <w:tblCellSpacing w:w="15" w:type="dxa"/>
        </w:trPr>
        <w:tc>
          <w:tcPr>
            <w:tcW w:w="0" w:type="auto"/>
            <w:vAlign w:val="center"/>
            <w:hideMark/>
          </w:tcPr>
          <w:p w14:paraId="7BAAF2B9"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Age</w:t>
            </w:r>
          </w:p>
        </w:tc>
        <w:tc>
          <w:tcPr>
            <w:tcW w:w="0" w:type="auto"/>
            <w:vAlign w:val="center"/>
            <w:hideMark/>
          </w:tcPr>
          <w:p w14:paraId="682E9CF7"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years</w:t>
            </w:r>
          </w:p>
        </w:tc>
      </w:tr>
      <w:tr w:rsidR="00263F42" w:rsidRPr="00263F42" w14:paraId="350AECF7" w14:textId="77777777">
        <w:trPr>
          <w:tblCellSpacing w:w="15" w:type="dxa"/>
        </w:trPr>
        <w:tc>
          <w:tcPr>
            <w:tcW w:w="0" w:type="auto"/>
            <w:vAlign w:val="center"/>
            <w:hideMark/>
          </w:tcPr>
          <w:p w14:paraId="7DC9AC9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Sex</w:t>
            </w:r>
          </w:p>
        </w:tc>
        <w:tc>
          <w:tcPr>
            <w:tcW w:w="0" w:type="auto"/>
            <w:vAlign w:val="center"/>
            <w:hideMark/>
          </w:tcPr>
          <w:p w14:paraId="3CEEED1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Male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Female</w:t>
            </w:r>
          </w:p>
        </w:tc>
      </w:tr>
      <w:tr w:rsidR="00263F42" w:rsidRPr="00263F42" w14:paraId="16CDF511" w14:textId="77777777">
        <w:trPr>
          <w:tblCellSpacing w:w="15" w:type="dxa"/>
        </w:trPr>
        <w:tc>
          <w:tcPr>
            <w:tcW w:w="0" w:type="auto"/>
            <w:vAlign w:val="center"/>
            <w:hideMark/>
          </w:tcPr>
          <w:p w14:paraId="7F31967E"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Documented Beta-blocker Use</w:t>
            </w:r>
          </w:p>
        </w:tc>
        <w:tc>
          <w:tcPr>
            <w:tcW w:w="0" w:type="auto"/>
            <w:vAlign w:val="center"/>
            <w:hideMark/>
          </w:tcPr>
          <w:p w14:paraId="2C676D04"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Yes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No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Unknown</w:t>
            </w:r>
          </w:p>
        </w:tc>
      </w:tr>
      <w:tr w:rsidR="00263F42" w:rsidRPr="00263F42" w14:paraId="6935F248" w14:textId="77777777">
        <w:trPr>
          <w:tblCellSpacing w:w="15" w:type="dxa"/>
        </w:trPr>
        <w:tc>
          <w:tcPr>
            <w:tcW w:w="0" w:type="auto"/>
            <w:vAlign w:val="center"/>
            <w:hideMark/>
          </w:tcPr>
          <w:p w14:paraId="763F5302"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Mechanism of Trauma</w:t>
            </w:r>
          </w:p>
        </w:tc>
        <w:tc>
          <w:tcPr>
            <w:tcW w:w="0" w:type="auto"/>
            <w:vAlign w:val="center"/>
            <w:hideMark/>
          </w:tcPr>
          <w:p w14:paraId="766058A7"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RTA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Fall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Assault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Other: ____________</w:t>
            </w:r>
          </w:p>
        </w:tc>
      </w:tr>
      <w:tr w:rsidR="00263F42" w:rsidRPr="00263F42" w14:paraId="5D5835C8" w14:textId="77777777">
        <w:trPr>
          <w:tblCellSpacing w:w="15" w:type="dxa"/>
        </w:trPr>
        <w:tc>
          <w:tcPr>
            <w:tcW w:w="0" w:type="auto"/>
            <w:vAlign w:val="center"/>
            <w:hideMark/>
          </w:tcPr>
          <w:p w14:paraId="559C987C"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Type of Trauma</w:t>
            </w:r>
          </w:p>
        </w:tc>
        <w:tc>
          <w:tcPr>
            <w:tcW w:w="0" w:type="auto"/>
            <w:vAlign w:val="center"/>
            <w:hideMark/>
          </w:tcPr>
          <w:p w14:paraId="7392AF33"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Blunt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Penetrating</w:t>
            </w:r>
          </w:p>
        </w:tc>
      </w:tr>
    </w:tbl>
    <w:p w14:paraId="1C14160C"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6F982D62" wp14:editId="3C120A61">
                <wp:extent cx="5731510" cy="1270"/>
                <wp:effectExtent l="0" t="31750" r="0" b="36830"/>
                <wp:docPr id="108355187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6E116C"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499E7C69"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Section B — Clinical Data at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1522"/>
      </w:tblGrid>
      <w:tr w:rsidR="00263F42" w:rsidRPr="00263F42" w14:paraId="194CECEE" w14:textId="77777777">
        <w:trPr>
          <w:tblHeader/>
          <w:tblCellSpacing w:w="15" w:type="dxa"/>
        </w:trPr>
        <w:tc>
          <w:tcPr>
            <w:tcW w:w="0" w:type="auto"/>
            <w:vAlign w:val="center"/>
            <w:hideMark/>
          </w:tcPr>
          <w:p w14:paraId="6017AEDF"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Variable</w:t>
            </w:r>
          </w:p>
        </w:tc>
        <w:tc>
          <w:tcPr>
            <w:tcW w:w="0" w:type="auto"/>
            <w:vAlign w:val="center"/>
            <w:hideMark/>
          </w:tcPr>
          <w:p w14:paraId="079C7BFA"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Response</w:t>
            </w:r>
          </w:p>
        </w:tc>
      </w:tr>
      <w:tr w:rsidR="00263F42" w:rsidRPr="00263F42" w14:paraId="682EEF35" w14:textId="77777777">
        <w:trPr>
          <w:tblCellSpacing w:w="15" w:type="dxa"/>
        </w:trPr>
        <w:tc>
          <w:tcPr>
            <w:tcW w:w="0" w:type="auto"/>
            <w:vAlign w:val="center"/>
            <w:hideMark/>
          </w:tcPr>
          <w:p w14:paraId="372A286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Initial Heart Rate</w:t>
            </w:r>
          </w:p>
        </w:tc>
        <w:tc>
          <w:tcPr>
            <w:tcW w:w="0" w:type="auto"/>
            <w:vAlign w:val="center"/>
            <w:hideMark/>
          </w:tcPr>
          <w:p w14:paraId="675CA4E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bpm</w:t>
            </w:r>
          </w:p>
        </w:tc>
      </w:tr>
      <w:tr w:rsidR="00263F42" w:rsidRPr="00263F42" w14:paraId="009AA924" w14:textId="77777777">
        <w:trPr>
          <w:tblCellSpacing w:w="15" w:type="dxa"/>
        </w:trPr>
        <w:tc>
          <w:tcPr>
            <w:tcW w:w="0" w:type="auto"/>
            <w:vAlign w:val="center"/>
            <w:hideMark/>
          </w:tcPr>
          <w:p w14:paraId="6B9BB46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Initial Systolic Blood Pressure</w:t>
            </w:r>
          </w:p>
        </w:tc>
        <w:tc>
          <w:tcPr>
            <w:tcW w:w="0" w:type="auto"/>
            <w:vAlign w:val="center"/>
            <w:hideMark/>
          </w:tcPr>
          <w:p w14:paraId="4F6569D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mmHg</w:t>
            </w:r>
          </w:p>
        </w:tc>
      </w:tr>
      <w:tr w:rsidR="00263F42" w:rsidRPr="00263F42" w14:paraId="1B64E04C" w14:textId="77777777">
        <w:trPr>
          <w:tblCellSpacing w:w="15" w:type="dxa"/>
        </w:trPr>
        <w:tc>
          <w:tcPr>
            <w:tcW w:w="0" w:type="auto"/>
            <w:vAlign w:val="center"/>
            <w:hideMark/>
          </w:tcPr>
          <w:p w14:paraId="28D072D5"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Glasgow Coma Scale (GCS)</w:t>
            </w:r>
          </w:p>
        </w:tc>
        <w:tc>
          <w:tcPr>
            <w:tcW w:w="0" w:type="auto"/>
            <w:vAlign w:val="center"/>
            <w:hideMark/>
          </w:tcPr>
          <w:p w14:paraId="5FD221B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 15</w:t>
            </w:r>
          </w:p>
        </w:tc>
      </w:tr>
    </w:tbl>
    <w:p w14:paraId="07FD8387"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1B24F5CB" wp14:editId="73F63C51">
                <wp:extent cx="5731510" cy="1270"/>
                <wp:effectExtent l="0" t="31750" r="0" b="36830"/>
                <wp:docPr id="20824275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DD46B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23AB8333"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lastRenderedPageBreak/>
        <w:t>Section C — Laboratory and Severity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gridCol w:w="1695"/>
      </w:tblGrid>
      <w:tr w:rsidR="00263F42" w:rsidRPr="00263F42" w14:paraId="6B3808E9" w14:textId="77777777">
        <w:trPr>
          <w:tblHeader/>
          <w:tblCellSpacing w:w="15" w:type="dxa"/>
        </w:trPr>
        <w:tc>
          <w:tcPr>
            <w:tcW w:w="0" w:type="auto"/>
            <w:vAlign w:val="center"/>
            <w:hideMark/>
          </w:tcPr>
          <w:p w14:paraId="05D4F500"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Variable</w:t>
            </w:r>
          </w:p>
        </w:tc>
        <w:tc>
          <w:tcPr>
            <w:tcW w:w="0" w:type="auto"/>
            <w:vAlign w:val="center"/>
            <w:hideMark/>
          </w:tcPr>
          <w:p w14:paraId="55C7C0B0"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Response</w:t>
            </w:r>
          </w:p>
        </w:tc>
      </w:tr>
      <w:tr w:rsidR="00263F42" w:rsidRPr="00263F42" w14:paraId="76A4DD71" w14:textId="77777777">
        <w:trPr>
          <w:tblCellSpacing w:w="15" w:type="dxa"/>
        </w:trPr>
        <w:tc>
          <w:tcPr>
            <w:tcW w:w="0" w:type="auto"/>
            <w:vAlign w:val="center"/>
            <w:hideMark/>
          </w:tcPr>
          <w:p w14:paraId="5FBABED7"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Serum Lactate</w:t>
            </w:r>
          </w:p>
        </w:tc>
        <w:tc>
          <w:tcPr>
            <w:tcW w:w="0" w:type="auto"/>
            <w:vAlign w:val="center"/>
            <w:hideMark/>
          </w:tcPr>
          <w:p w14:paraId="1A382309"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mmol/L</w:t>
            </w:r>
          </w:p>
        </w:tc>
      </w:tr>
      <w:tr w:rsidR="00263F42" w:rsidRPr="00263F42" w14:paraId="16019BC1" w14:textId="77777777">
        <w:trPr>
          <w:tblCellSpacing w:w="15" w:type="dxa"/>
        </w:trPr>
        <w:tc>
          <w:tcPr>
            <w:tcW w:w="0" w:type="auto"/>
            <w:vAlign w:val="center"/>
            <w:hideMark/>
          </w:tcPr>
          <w:p w14:paraId="2DD03BB4"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Initial </w:t>
            </w:r>
            <w:proofErr w:type="spellStart"/>
            <w:r w:rsidRPr="00263F42">
              <w:rPr>
                <w:rFonts w:asciiTheme="majorBidi" w:eastAsia="Times New Roman" w:hAnsiTheme="majorBidi" w:cstheme="majorBidi"/>
                <w:kern w:val="0"/>
                <w14:ligatures w14:val="none"/>
              </w:rPr>
              <w:t>Hemoglobin</w:t>
            </w:r>
            <w:proofErr w:type="spellEnd"/>
            <w:r w:rsidRPr="00263F42">
              <w:rPr>
                <w:rFonts w:asciiTheme="majorBidi" w:eastAsia="Times New Roman" w:hAnsiTheme="majorBidi" w:cstheme="majorBidi"/>
                <w:kern w:val="0"/>
                <w14:ligatures w14:val="none"/>
              </w:rPr>
              <w:t xml:space="preserve"> </w:t>
            </w:r>
            <w:r w:rsidRPr="00263F42">
              <w:rPr>
                <w:rFonts w:asciiTheme="majorBidi" w:eastAsia="Times New Roman" w:hAnsiTheme="majorBidi" w:cstheme="majorBidi"/>
                <w:i/>
                <w:iCs/>
                <w:kern w:val="0"/>
                <w14:ligatures w14:val="none"/>
              </w:rPr>
              <w:t>(if available)</w:t>
            </w:r>
          </w:p>
        </w:tc>
        <w:tc>
          <w:tcPr>
            <w:tcW w:w="0" w:type="auto"/>
            <w:vAlign w:val="center"/>
            <w:hideMark/>
          </w:tcPr>
          <w:p w14:paraId="288F216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g/dL</w:t>
            </w:r>
          </w:p>
        </w:tc>
      </w:tr>
      <w:tr w:rsidR="00263F42" w:rsidRPr="00263F42" w14:paraId="769EA23E" w14:textId="77777777">
        <w:trPr>
          <w:tblCellSpacing w:w="15" w:type="dxa"/>
        </w:trPr>
        <w:tc>
          <w:tcPr>
            <w:tcW w:w="0" w:type="auto"/>
            <w:vAlign w:val="center"/>
            <w:hideMark/>
          </w:tcPr>
          <w:p w14:paraId="56C0F01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Time of ED Admission</w:t>
            </w:r>
          </w:p>
        </w:tc>
        <w:tc>
          <w:tcPr>
            <w:tcW w:w="0" w:type="auto"/>
            <w:vAlign w:val="center"/>
            <w:hideMark/>
          </w:tcPr>
          <w:p w14:paraId="42C765F1"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w:t>
            </w:r>
            <w:proofErr w:type="spellStart"/>
            <w:r w:rsidRPr="00263F42">
              <w:rPr>
                <w:rFonts w:asciiTheme="majorBidi" w:eastAsia="Times New Roman" w:hAnsiTheme="majorBidi" w:cstheme="majorBidi"/>
                <w:kern w:val="0"/>
                <w14:ligatures w14:val="none"/>
              </w:rPr>
              <w:t>hh:mm</w:t>
            </w:r>
            <w:proofErr w:type="spellEnd"/>
            <w:r w:rsidRPr="00263F42">
              <w:rPr>
                <w:rFonts w:asciiTheme="majorBidi" w:eastAsia="Times New Roman" w:hAnsiTheme="majorBidi" w:cstheme="majorBidi"/>
                <w:kern w:val="0"/>
                <w14:ligatures w14:val="none"/>
              </w:rPr>
              <w:t>)</w:t>
            </w:r>
          </w:p>
        </w:tc>
      </w:tr>
      <w:tr w:rsidR="00263F42" w:rsidRPr="00263F42" w14:paraId="06CEF4EE" w14:textId="77777777">
        <w:trPr>
          <w:tblCellSpacing w:w="15" w:type="dxa"/>
        </w:trPr>
        <w:tc>
          <w:tcPr>
            <w:tcW w:w="0" w:type="auto"/>
            <w:vAlign w:val="center"/>
            <w:hideMark/>
          </w:tcPr>
          <w:p w14:paraId="3EC3209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Time of Lactate Blood Draw</w:t>
            </w:r>
          </w:p>
        </w:tc>
        <w:tc>
          <w:tcPr>
            <w:tcW w:w="0" w:type="auto"/>
            <w:vAlign w:val="center"/>
            <w:hideMark/>
          </w:tcPr>
          <w:p w14:paraId="5EC6AC5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 (</w:t>
            </w:r>
            <w:proofErr w:type="spellStart"/>
            <w:r w:rsidRPr="00263F42">
              <w:rPr>
                <w:rFonts w:asciiTheme="majorBidi" w:eastAsia="Times New Roman" w:hAnsiTheme="majorBidi" w:cstheme="majorBidi"/>
                <w:kern w:val="0"/>
                <w14:ligatures w14:val="none"/>
              </w:rPr>
              <w:t>hh:mm</w:t>
            </w:r>
            <w:proofErr w:type="spellEnd"/>
            <w:r w:rsidRPr="00263F42">
              <w:rPr>
                <w:rFonts w:asciiTheme="majorBidi" w:eastAsia="Times New Roman" w:hAnsiTheme="majorBidi" w:cstheme="majorBidi"/>
                <w:kern w:val="0"/>
                <w14:ligatures w14:val="none"/>
              </w:rPr>
              <w:t>)</w:t>
            </w:r>
          </w:p>
        </w:tc>
      </w:tr>
      <w:tr w:rsidR="00263F42" w:rsidRPr="00263F42" w14:paraId="1C766E86" w14:textId="77777777">
        <w:trPr>
          <w:tblCellSpacing w:w="15" w:type="dxa"/>
        </w:trPr>
        <w:tc>
          <w:tcPr>
            <w:tcW w:w="0" w:type="auto"/>
            <w:vAlign w:val="center"/>
            <w:hideMark/>
          </w:tcPr>
          <w:p w14:paraId="35E575E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Injury Severity Score (ISS) </w:t>
            </w:r>
            <w:r w:rsidRPr="00263F42">
              <w:rPr>
                <w:rFonts w:asciiTheme="majorBidi" w:eastAsia="Times New Roman" w:hAnsiTheme="majorBidi" w:cstheme="majorBidi"/>
                <w:i/>
                <w:iCs/>
                <w:kern w:val="0"/>
                <w14:ligatures w14:val="none"/>
              </w:rPr>
              <w:t>(calculated from records)</w:t>
            </w:r>
          </w:p>
        </w:tc>
        <w:tc>
          <w:tcPr>
            <w:tcW w:w="0" w:type="auto"/>
            <w:vAlign w:val="center"/>
            <w:hideMark/>
          </w:tcPr>
          <w:p w14:paraId="3EE96FE5"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w:t>
            </w:r>
          </w:p>
        </w:tc>
      </w:tr>
    </w:tbl>
    <w:p w14:paraId="067AC55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4874EBE2" wp14:editId="488A0BB3">
                <wp:extent cx="5731510" cy="1270"/>
                <wp:effectExtent l="0" t="31750" r="0" b="36830"/>
                <wp:docPr id="14206659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2AA4B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2EF1C9CA" w14:textId="77777777" w:rsidR="00263F42" w:rsidRPr="00263F42" w:rsidRDefault="00263F42" w:rsidP="0082634F">
      <w:pPr>
        <w:spacing w:before="100" w:beforeAutospacing="1" w:after="100" w:afterAutospacing="1" w:line="360" w:lineRule="auto"/>
        <w:outlineLvl w:val="2"/>
        <w:rPr>
          <w:rFonts w:asciiTheme="majorBidi" w:eastAsia="Times New Roman" w:hAnsiTheme="majorBidi" w:cstheme="majorBidi"/>
          <w:b/>
          <w:bCs/>
          <w:kern w:val="0"/>
          <w:sz w:val="27"/>
          <w:szCs w:val="27"/>
          <w14:ligatures w14:val="none"/>
        </w:rPr>
      </w:pPr>
      <w:r w:rsidRPr="00263F42">
        <w:rPr>
          <w:rFonts w:asciiTheme="majorBidi" w:eastAsia="Times New Roman" w:hAnsiTheme="majorBidi" w:cstheme="majorBidi"/>
          <w:b/>
          <w:bCs/>
          <w:kern w:val="0"/>
          <w:sz w:val="27"/>
          <w:szCs w:val="27"/>
          <w14:ligatures w14:val="none"/>
        </w:rPr>
        <w:t>Section D — Outcome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5"/>
        <w:gridCol w:w="2955"/>
      </w:tblGrid>
      <w:tr w:rsidR="00263F42" w:rsidRPr="00263F42" w14:paraId="625C68C7" w14:textId="77777777">
        <w:trPr>
          <w:tblHeader/>
          <w:tblCellSpacing w:w="15" w:type="dxa"/>
        </w:trPr>
        <w:tc>
          <w:tcPr>
            <w:tcW w:w="0" w:type="auto"/>
            <w:vAlign w:val="center"/>
            <w:hideMark/>
          </w:tcPr>
          <w:p w14:paraId="0CD717CA"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Variable</w:t>
            </w:r>
          </w:p>
        </w:tc>
        <w:tc>
          <w:tcPr>
            <w:tcW w:w="0" w:type="auto"/>
            <w:vAlign w:val="center"/>
            <w:hideMark/>
          </w:tcPr>
          <w:p w14:paraId="32B845D9" w14:textId="77777777" w:rsidR="00263F42" w:rsidRPr="00263F42" w:rsidRDefault="00263F42" w:rsidP="0082634F">
            <w:pPr>
              <w:spacing w:after="0" w:line="360" w:lineRule="auto"/>
              <w:jc w:val="center"/>
              <w:rPr>
                <w:rFonts w:asciiTheme="majorBidi" w:eastAsia="Times New Roman" w:hAnsiTheme="majorBidi" w:cstheme="majorBidi"/>
                <w:b/>
                <w:bCs/>
                <w:kern w:val="0"/>
                <w14:ligatures w14:val="none"/>
              </w:rPr>
            </w:pPr>
            <w:r w:rsidRPr="00263F42">
              <w:rPr>
                <w:rFonts w:asciiTheme="majorBidi" w:eastAsia="Times New Roman" w:hAnsiTheme="majorBidi" w:cstheme="majorBidi"/>
                <w:b/>
                <w:bCs/>
                <w:kern w:val="0"/>
                <w14:ligatures w14:val="none"/>
              </w:rPr>
              <w:t>Response</w:t>
            </w:r>
          </w:p>
        </w:tc>
      </w:tr>
      <w:tr w:rsidR="00263F42" w:rsidRPr="00263F42" w14:paraId="6490F74E" w14:textId="77777777">
        <w:trPr>
          <w:tblCellSpacing w:w="15" w:type="dxa"/>
        </w:trPr>
        <w:tc>
          <w:tcPr>
            <w:tcW w:w="0" w:type="auto"/>
            <w:vAlign w:val="center"/>
            <w:hideMark/>
          </w:tcPr>
          <w:p w14:paraId="0E2C770F"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In-Hospital Mortality</w:t>
            </w:r>
          </w:p>
        </w:tc>
        <w:tc>
          <w:tcPr>
            <w:tcW w:w="0" w:type="auto"/>
            <w:vAlign w:val="center"/>
            <w:hideMark/>
          </w:tcPr>
          <w:p w14:paraId="5AE028F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Survived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Died</w:t>
            </w:r>
          </w:p>
        </w:tc>
      </w:tr>
      <w:tr w:rsidR="00263F42" w:rsidRPr="00263F42" w14:paraId="3A7CA1D5" w14:textId="77777777">
        <w:trPr>
          <w:tblCellSpacing w:w="15" w:type="dxa"/>
        </w:trPr>
        <w:tc>
          <w:tcPr>
            <w:tcW w:w="0" w:type="auto"/>
            <w:vAlign w:val="center"/>
            <w:hideMark/>
          </w:tcPr>
          <w:p w14:paraId="286C482D"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ICU Admission</w:t>
            </w:r>
          </w:p>
        </w:tc>
        <w:tc>
          <w:tcPr>
            <w:tcW w:w="0" w:type="auto"/>
            <w:vAlign w:val="center"/>
            <w:hideMark/>
          </w:tcPr>
          <w:p w14:paraId="5D199BD8"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Yes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No</w:t>
            </w:r>
          </w:p>
        </w:tc>
      </w:tr>
      <w:tr w:rsidR="00263F42" w:rsidRPr="00263F42" w14:paraId="0DF57FED" w14:textId="77777777">
        <w:trPr>
          <w:tblCellSpacing w:w="15" w:type="dxa"/>
        </w:trPr>
        <w:tc>
          <w:tcPr>
            <w:tcW w:w="0" w:type="auto"/>
            <w:vAlign w:val="center"/>
            <w:hideMark/>
          </w:tcPr>
          <w:p w14:paraId="5A594597"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Blood Transfusion (&lt; 24h)</w:t>
            </w:r>
          </w:p>
        </w:tc>
        <w:tc>
          <w:tcPr>
            <w:tcW w:w="0" w:type="auto"/>
            <w:vAlign w:val="center"/>
            <w:hideMark/>
          </w:tcPr>
          <w:p w14:paraId="2DCF8A33"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Yes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No</w:t>
            </w:r>
          </w:p>
        </w:tc>
      </w:tr>
      <w:tr w:rsidR="00263F42" w:rsidRPr="00263F42" w14:paraId="02A925A4" w14:textId="77777777">
        <w:trPr>
          <w:tblCellSpacing w:w="15" w:type="dxa"/>
        </w:trPr>
        <w:tc>
          <w:tcPr>
            <w:tcW w:w="0" w:type="auto"/>
            <w:vAlign w:val="center"/>
            <w:hideMark/>
          </w:tcPr>
          <w:p w14:paraId="1E395FD2"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 Number of </w:t>
            </w:r>
            <w:proofErr w:type="spellStart"/>
            <w:r w:rsidRPr="00263F42">
              <w:rPr>
                <w:rFonts w:asciiTheme="majorBidi" w:eastAsia="Times New Roman" w:hAnsiTheme="majorBidi" w:cstheme="majorBidi"/>
                <w:kern w:val="0"/>
                <w14:ligatures w14:val="none"/>
              </w:rPr>
              <w:t>pRBC</w:t>
            </w:r>
            <w:proofErr w:type="spellEnd"/>
            <w:r w:rsidRPr="00263F42">
              <w:rPr>
                <w:rFonts w:asciiTheme="majorBidi" w:eastAsia="Times New Roman" w:hAnsiTheme="majorBidi" w:cstheme="majorBidi"/>
                <w:kern w:val="0"/>
                <w14:ligatures w14:val="none"/>
              </w:rPr>
              <w:t xml:space="preserve"> units </w:t>
            </w:r>
            <w:r w:rsidRPr="00263F42">
              <w:rPr>
                <w:rFonts w:asciiTheme="majorBidi" w:eastAsia="Times New Roman" w:hAnsiTheme="majorBidi" w:cstheme="majorBidi"/>
                <w:i/>
                <w:iCs/>
                <w:kern w:val="0"/>
                <w14:ligatures w14:val="none"/>
              </w:rPr>
              <w:t>(if available)</w:t>
            </w:r>
          </w:p>
        </w:tc>
        <w:tc>
          <w:tcPr>
            <w:tcW w:w="0" w:type="auto"/>
            <w:vAlign w:val="center"/>
            <w:hideMark/>
          </w:tcPr>
          <w:p w14:paraId="1A1DC20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w:t>
            </w:r>
          </w:p>
        </w:tc>
      </w:tr>
      <w:tr w:rsidR="00263F42" w:rsidRPr="00263F42" w14:paraId="25D9258D" w14:textId="77777777">
        <w:trPr>
          <w:tblCellSpacing w:w="15" w:type="dxa"/>
        </w:trPr>
        <w:tc>
          <w:tcPr>
            <w:tcW w:w="0" w:type="auto"/>
            <w:vAlign w:val="center"/>
            <w:hideMark/>
          </w:tcPr>
          <w:p w14:paraId="2E15C6A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Urgent Surgery (&lt; 24h)</w:t>
            </w:r>
          </w:p>
        </w:tc>
        <w:tc>
          <w:tcPr>
            <w:tcW w:w="0" w:type="auto"/>
            <w:vAlign w:val="center"/>
            <w:hideMark/>
          </w:tcPr>
          <w:p w14:paraId="1473498B"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Yes — </w:t>
            </w:r>
            <w:r w:rsidRPr="00263F42">
              <w:rPr>
                <w:rFonts w:ascii="Segoe UI Symbol" w:eastAsia="Times New Roman" w:hAnsi="Segoe UI Symbol" w:cs="Segoe UI Symbol"/>
                <w:kern w:val="0"/>
                <w14:ligatures w14:val="none"/>
              </w:rPr>
              <w:t>☐</w:t>
            </w:r>
            <w:r w:rsidRPr="00263F42">
              <w:rPr>
                <w:rFonts w:asciiTheme="majorBidi" w:eastAsia="Times New Roman" w:hAnsiTheme="majorBidi" w:cstheme="majorBidi"/>
                <w:kern w:val="0"/>
                <w14:ligatures w14:val="none"/>
              </w:rPr>
              <w:t xml:space="preserve"> No</w:t>
            </w:r>
          </w:p>
        </w:tc>
      </w:tr>
      <w:tr w:rsidR="00263F42" w:rsidRPr="00263F42" w14:paraId="3C8EC6F9" w14:textId="77777777">
        <w:trPr>
          <w:tblCellSpacing w:w="15" w:type="dxa"/>
        </w:trPr>
        <w:tc>
          <w:tcPr>
            <w:tcW w:w="0" w:type="auto"/>
            <w:vAlign w:val="center"/>
            <w:hideMark/>
          </w:tcPr>
          <w:p w14:paraId="168253B6"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 xml:space="preserve">— Type of surgery </w:t>
            </w:r>
            <w:r w:rsidRPr="00263F42">
              <w:rPr>
                <w:rFonts w:asciiTheme="majorBidi" w:eastAsia="Times New Roman" w:hAnsiTheme="majorBidi" w:cstheme="majorBidi"/>
                <w:i/>
                <w:iCs/>
                <w:kern w:val="0"/>
                <w14:ligatures w14:val="none"/>
              </w:rPr>
              <w:t>(if performed)</w:t>
            </w:r>
          </w:p>
        </w:tc>
        <w:tc>
          <w:tcPr>
            <w:tcW w:w="0" w:type="auto"/>
            <w:vAlign w:val="center"/>
            <w:hideMark/>
          </w:tcPr>
          <w:p w14:paraId="20D23D84"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kern w:val="0"/>
                <w14:ligatures w14:val="none"/>
              </w:rPr>
              <w:t>________________________</w:t>
            </w:r>
          </w:p>
        </w:tc>
      </w:tr>
    </w:tbl>
    <w:p w14:paraId="4C740603"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72EFC09E" wp14:editId="72BD717F">
                <wp:extent cx="5731510" cy="1270"/>
                <wp:effectExtent l="0" t="31750" r="0" b="36830"/>
                <wp:docPr id="13198984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3519CE"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1A178CD7" w14:textId="77777777" w:rsidR="00263F42" w:rsidRPr="00263F42" w:rsidRDefault="00263F42" w:rsidP="0082634F">
      <w:pPr>
        <w:spacing w:before="100" w:beforeAutospacing="1" w:after="100" w:afterAutospacing="1"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b/>
          <w:bCs/>
          <w:kern w:val="0"/>
          <w14:ligatures w14:val="none"/>
        </w:rPr>
        <w:t>Collected by:</w:t>
      </w:r>
      <w:r w:rsidRPr="00263F42">
        <w:rPr>
          <w:rFonts w:asciiTheme="majorBidi" w:eastAsia="Times New Roman" w:hAnsiTheme="majorBidi" w:cstheme="majorBidi"/>
          <w:kern w:val="0"/>
          <w14:ligatures w14:val="none"/>
        </w:rPr>
        <w:t xml:space="preserve"> ________________________ — </w:t>
      </w:r>
      <w:r w:rsidRPr="00263F42">
        <w:rPr>
          <w:rFonts w:asciiTheme="majorBidi" w:eastAsia="Times New Roman" w:hAnsiTheme="majorBidi" w:cstheme="majorBidi"/>
          <w:b/>
          <w:bCs/>
          <w:kern w:val="0"/>
          <w14:ligatures w14:val="none"/>
        </w:rPr>
        <w:t>Date:</w:t>
      </w:r>
      <w:r w:rsidRPr="00263F42">
        <w:rPr>
          <w:rFonts w:asciiTheme="majorBidi" w:eastAsia="Times New Roman" w:hAnsiTheme="majorBidi" w:cstheme="majorBidi"/>
          <w:kern w:val="0"/>
          <w14:ligatures w14:val="none"/>
        </w:rPr>
        <w:t xml:space="preserve"> ________________________</w:t>
      </w:r>
    </w:p>
    <w:p w14:paraId="1482CF3A" w14:textId="77777777" w:rsidR="00263F42" w:rsidRPr="00263F42"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68B7F7F7" wp14:editId="74B0AF0C">
                <wp:extent cx="5731510" cy="1270"/>
                <wp:effectExtent l="0" t="31750" r="0" b="36830"/>
                <wp:docPr id="2570451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7F86E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3E2FB8B7" w14:textId="47AEC07D" w:rsidR="00397ABB" w:rsidRPr="0082634F" w:rsidRDefault="00263F42" w:rsidP="0082634F">
      <w:pPr>
        <w:spacing w:after="0" w:line="360" w:lineRule="auto"/>
        <w:rPr>
          <w:rFonts w:asciiTheme="majorBidi" w:eastAsia="Times New Roman" w:hAnsiTheme="majorBidi" w:cstheme="majorBidi"/>
          <w:kern w:val="0"/>
          <w14:ligatures w14:val="none"/>
        </w:rPr>
      </w:pPr>
      <w:r w:rsidRPr="00263F42">
        <w:rPr>
          <w:rFonts w:asciiTheme="majorBidi" w:eastAsia="Times New Roman" w:hAnsiTheme="majorBidi" w:cstheme="majorBidi"/>
          <w:noProof/>
          <w:kern w:val="0"/>
          <w14:ligatures w14:val="none"/>
        </w:rPr>
        <mc:AlternateContent>
          <mc:Choice Requires="wps">
            <w:drawing>
              <wp:inline distT="0" distB="0" distL="0" distR="0" wp14:anchorId="393843EA" wp14:editId="3E9238B5">
                <wp:extent cx="5731510" cy="1270"/>
                <wp:effectExtent l="0" t="31750" r="0" b="36830"/>
                <wp:docPr id="18581916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5AD91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sectPr w:rsidR="00397ABB" w:rsidRPr="0082634F" w:rsidSect="00124822">
      <w:pgSz w:w="11906" w:h="16838"/>
      <w:pgMar w:top="1440" w:right="1440" w:bottom="1440" w:left="1440" w:header="107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58ECA" w14:textId="77777777" w:rsidR="002D48F6" w:rsidRDefault="002D48F6" w:rsidP="008A0A42">
      <w:pPr>
        <w:spacing w:after="0" w:line="240" w:lineRule="auto"/>
      </w:pPr>
      <w:r>
        <w:separator/>
      </w:r>
    </w:p>
  </w:endnote>
  <w:endnote w:type="continuationSeparator" w:id="0">
    <w:p w14:paraId="762581BC" w14:textId="77777777" w:rsidR="002D48F6" w:rsidRDefault="002D48F6" w:rsidP="008A0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214629"/>
      <w:docPartObj>
        <w:docPartGallery w:val="Page Numbers (Bottom of Page)"/>
        <w:docPartUnique/>
      </w:docPartObj>
    </w:sdtPr>
    <w:sdtEndPr>
      <w:rPr>
        <w:color w:val="7F7F7F" w:themeColor="background1" w:themeShade="7F"/>
        <w:spacing w:val="60"/>
      </w:rPr>
    </w:sdtEndPr>
    <w:sdtContent>
      <w:p w14:paraId="3F693680" w14:textId="6A6A1C40" w:rsidR="00985832" w:rsidRDefault="0098583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EDE0EE" w14:textId="77777777" w:rsidR="00985832" w:rsidRDefault="00985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E372F" w14:textId="77777777" w:rsidR="002D48F6" w:rsidRDefault="002D48F6" w:rsidP="008A0A42">
      <w:pPr>
        <w:spacing w:after="0" w:line="240" w:lineRule="auto"/>
      </w:pPr>
      <w:r>
        <w:separator/>
      </w:r>
    </w:p>
  </w:footnote>
  <w:footnote w:type="continuationSeparator" w:id="0">
    <w:p w14:paraId="1A8377CA" w14:textId="77777777" w:rsidR="002D48F6" w:rsidRDefault="002D48F6" w:rsidP="008A0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855E1" w14:textId="54440000" w:rsidR="0089097D" w:rsidRDefault="0089097D" w:rsidP="0089097D">
    <w:pPr>
      <w:pStyle w:val="Header"/>
    </w:pPr>
    <w: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C0F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B4C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17C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4672C"/>
    <w:multiLevelType w:val="hybridMultilevel"/>
    <w:tmpl w:val="BE50A5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B06AB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C45BA"/>
    <w:multiLevelType w:val="hybridMultilevel"/>
    <w:tmpl w:val="CC52FDD2"/>
    <w:lvl w:ilvl="0" w:tplc="0250FB1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69F82F38"/>
    <w:multiLevelType w:val="hybridMultilevel"/>
    <w:tmpl w:val="882A26E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8977826">
    <w:abstractNumId w:val="1"/>
  </w:num>
  <w:num w:numId="2" w16cid:durableId="1371029750">
    <w:abstractNumId w:val="0"/>
  </w:num>
  <w:num w:numId="3" w16cid:durableId="193351980">
    <w:abstractNumId w:val="2"/>
  </w:num>
  <w:num w:numId="4" w16cid:durableId="575826121">
    <w:abstractNumId w:val="4"/>
  </w:num>
  <w:num w:numId="5" w16cid:durableId="940528960">
    <w:abstractNumId w:val="3"/>
  </w:num>
  <w:num w:numId="6" w16cid:durableId="758602600">
    <w:abstractNumId w:val="5"/>
  </w:num>
  <w:num w:numId="7" w16cid:durableId="789055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18F"/>
    <w:rsid w:val="0001324E"/>
    <w:rsid w:val="00042A0B"/>
    <w:rsid w:val="00054169"/>
    <w:rsid w:val="0009221D"/>
    <w:rsid w:val="000D52F2"/>
    <w:rsid w:val="0010596D"/>
    <w:rsid w:val="00124822"/>
    <w:rsid w:val="00136995"/>
    <w:rsid w:val="00163CAD"/>
    <w:rsid w:val="00175CDD"/>
    <w:rsid w:val="001A11AF"/>
    <w:rsid w:val="001B4AA6"/>
    <w:rsid w:val="001C2AAD"/>
    <w:rsid w:val="00234686"/>
    <w:rsid w:val="00261B7E"/>
    <w:rsid w:val="00263F42"/>
    <w:rsid w:val="002C4967"/>
    <w:rsid w:val="002D2FA5"/>
    <w:rsid w:val="002D48F6"/>
    <w:rsid w:val="002E09EA"/>
    <w:rsid w:val="00302B72"/>
    <w:rsid w:val="00397ABB"/>
    <w:rsid w:val="003C124C"/>
    <w:rsid w:val="003C2972"/>
    <w:rsid w:val="003E118F"/>
    <w:rsid w:val="003E4B72"/>
    <w:rsid w:val="0041254D"/>
    <w:rsid w:val="00462523"/>
    <w:rsid w:val="004B04B9"/>
    <w:rsid w:val="004B7FF0"/>
    <w:rsid w:val="005126C5"/>
    <w:rsid w:val="00592EA7"/>
    <w:rsid w:val="005E4A59"/>
    <w:rsid w:val="006616EC"/>
    <w:rsid w:val="006662C1"/>
    <w:rsid w:val="006867D1"/>
    <w:rsid w:val="006B0535"/>
    <w:rsid w:val="006C5665"/>
    <w:rsid w:val="00737F12"/>
    <w:rsid w:val="0074203B"/>
    <w:rsid w:val="00742FDD"/>
    <w:rsid w:val="00757334"/>
    <w:rsid w:val="0079345D"/>
    <w:rsid w:val="007A6C62"/>
    <w:rsid w:val="0082634F"/>
    <w:rsid w:val="0089097D"/>
    <w:rsid w:val="008A0A42"/>
    <w:rsid w:val="008A0EF6"/>
    <w:rsid w:val="008A2B81"/>
    <w:rsid w:val="008D4423"/>
    <w:rsid w:val="008E1F6B"/>
    <w:rsid w:val="009135C3"/>
    <w:rsid w:val="00937925"/>
    <w:rsid w:val="00941FA8"/>
    <w:rsid w:val="00974A3A"/>
    <w:rsid w:val="00985832"/>
    <w:rsid w:val="009B0A76"/>
    <w:rsid w:val="009F1D38"/>
    <w:rsid w:val="00A55ED5"/>
    <w:rsid w:val="00A63079"/>
    <w:rsid w:val="00A8061F"/>
    <w:rsid w:val="00AC4D4F"/>
    <w:rsid w:val="00B24F38"/>
    <w:rsid w:val="00B825B4"/>
    <w:rsid w:val="00B92285"/>
    <w:rsid w:val="00BD7A68"/>
    <w:rsid w:val="00BF5893"/>
    <w:rsid w:val="00C22EE5"/>
    <w:rsid w:val="00C4510F"/>
    <w:rsid w:val="00C9393D"/>
    <w:rsid w:val="00CE60DA"/>
    <w:rsid w:val="00D02B28"/>
    <w:rsid w:val="00D2603C"/>
    <w:rsid w:val="00D2672D"/>
    <w:rsid w:val="00D32F08"/>
    <w:rsid w:val="00DB74C0"/>
    <w:rsid w:val="00DE0332"/>
    <w:rsid w:val="00DF0F04"/>
    <w:rsid w:val="00ED32FE"/>
    <w:rsid w:val="00ED77BC"/>
    <w:rsid w:val="00EE3252"/>
    <w:rsid w:val="00F808ED"/>
    <w:rsid w:val="00FB5852"/>
    <w:rsid w:val="00FC7D8F"/>
    <w:rsid w:val="00FF34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2F10"/>
  <w15:docId w15:val="{4AB63EB5-47B8-4C7F-AB0C-BE378374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18F"/>
    <w:rPr>
      <w:rFonts w:eastAsiaTheme="majorEastAsia" w:cstheme="majorBidi"/>
      <w:color w:val="272727" w:themeColor="text1" w:themeTint="D8"/>
    </w:rPr>
  </w:style>
  <w:style w:type="paragraph" w:styleId="Title">
    <w:name w:val="Title"/>
    <w:basedOn w:val="Normal"/>
    <w:next w:val="Normal"/>
    <w:link w:val="TitleChar"/>
    <w:uiPriority w:val="10"/>
    <w:qFormat/>
    <w:rsid w:val="003E1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18F"/>
    <w:pPr>
      <w:spacing w:before="160"/>
      <w:jc w:val="center"/>
    </w:pPr>
    <w:rPr>
      <w:i/>
      <w:iCs/>
      <w:color w:val="404040" w:themeColor="text1" w:themeTint="BF"/>
    </w:rPr>
  </w:style>
  <w:style w:type="character" w:customStyle="1" w:styleId="QuoteChar">
    <w:name w:val="Quote Char"/>
    <w:basedOn w:val="DefaultParagraphFont"/>
    <w:link w:val="Quote"/>
    <w:uiPriority w:val="29"/>
    <w:rsid w:val="003E118F"/>
    <w:rPr>
      <w:i/>
      <w:iCs/>
      <w:color w:val="404040" w:themeColor="text1" w:themeTint="BF"/>
    </w:rPr>
  </w:style>
  <w:style w:type="paragraph" w:styleId="ListParagraph">
    <w:name w:val="List Paragraph"/>
    <w:basedOn w:val="Normal"/>
    <w:uiPriority w:val="34"/>
    <w:qFormat/>
    <w:rsid w:val="003E118F"/>
    <w:pPr>
      <w:ind w:left="720"/>
      <w:contextualSpacing/>
    </w:pPr>
  </w:style>
  <w:style w:type="character" w:styleId="IntenseEmphasis">
    <w:name w:val="Intense Emphasis"/>
    <w:basedOn w:val="DefaultParagraphFont"/>
    <w:uiPriority w:val="21"/>
    <w:qFormat/>
    <w:rsid w:val="003E118F"/>
    <w:rPr>
      <w:i/>
      <w:iCs/>
      <w:color w:val="0F4761" w:themeColor="accent1" w:themeShade="BF"/>
    </w:rPr>
  </w:style>
  <w:style w:type="paragraph" w:styleId="IntenseQuote">
    <w:name w:val="Intense Quote"/>
    <w:basedOn w:val="Normal"/>
    <w:next w:val="Normal"/>
    <w:link w:val="IntenseQuoteChar"/>
    <w:uiPriority w:val="30"/>
    <w:qFormat/>
    <w:rsid w:val="003E1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18F"/>
    <w:rPr>
      <w:i/>
      <w:iCs/>
      <w:color w:val="0F4761" w:themeColor="accent1" w:themeShade="BF"/>
    </w:rPr>
  </w:style>
  <w:style w:type="character" w:styleId="IntenseReference">
    <w:name w:val="Intense Reference"/>
    <w:basedOn w:val="DefaultParagraphFont"/>
    <w:uiPriority w:val="32"/>
    <w:qFormat/>
    <w:rsid w:val="003E118F"/>
    <w:rPr>
      <w:b/>
      <w:bCs/>
      <w:smallCaps/>
      <w:color w:val="0F4761" w:themeColor="accent1" w:themeShade="BF"/>
      <w:spacing w:val="5"/>
    </w:rPr>
  </w:style>
  <w:style w:type="table" w:styleId="TableGrid">
    <w:name w:val="Table Grid"/>
    <w:basedOn w:val="TableNormal"/>
    <w:uiPriority w:val="39"/>
    <w:rsid w:val="00742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FDD"/>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BD7A68"/>
    <w:rPr>
      <w:color w:val="467886" w:themeColor="hyperlink"/>
      <w:u w:val="single"/>
    </w:rPr>
  </w:style>
  <w:style w:type="character" w:styleId="UnresolvedMention">
    <w:name w:val="Unresolved Mention"/>
    <w:basedOn w:val="DefaultParagraphFont"/>
    <w:uiPriority w:val="99"/>
    <w:semiHidden/>
    <w:unhideWhenUsed/>
    <w:rsid w:val="00BD7A68"/>
    <w:rPr>
      <w:color w:val="605E5C"/>
      <w:shd w:val="clear" w:color="auto" w:fill="E1DFDD"/>
    </w:rPr>
  </w:style>
  <w:style w:type="paragraph" w:styleId="Header">
    <w:name w:val="header"/>
    <w:basedOn w:val="Normal"/>
    <w:link w:val="HeaderChar"/>
    <w:uiPriority w:val="99"/>
    <w:unhideWhenUsed/>
    <w:rsid w:val="008A0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A42"/>
  </w:style>
  <w:style w:type="paragraph" w:styleId="Footer">
    <w:name w:val="footer"/>
    <w:basedOn w:val="Normal"/>
    <w:link w:val="FooterChar"/>
    <w:uiPriority w:val="99"/>
    <w:unhideWhenUsed/>
    <w:rsid w:val="008A0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A42"/>
  </w:style>
  <w:style w:type="character" w:styleId="FollowedHyperlink">
    <w:name w:val="FollowedHyperlink"/>
    <w:basedOn w:val="DefaultParagraphFont"/>
    <w:uiPriority w:val="99"/>
    <w:semiHidden/>
    <w:unhideWhenUsed/>
    <w:rsid w:val="00C939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78415">
      <w:bodyDiv w:val="1"/>
      <w:marLeft w:val="0"/>
      <w:marRight w:val="0"/>
      <w:marTop w:val="0"/>
      <w:marBottom w:val="0"/>
      <w:divBdr>
        <w:top w:val="none" w:sz="0" w:space="0" w:color="auto"/>
        <w:left w:val="none" w:sz="0" w:space="0" w:color="auto"/>
        <w:bottom w:val="none" w:sz="0" w:space="0" w:color="auto"/>
        <w:right w:val="none" w:sz="0" w:space="0" w:color="auto"/>
      </w:divBdr>
    </w:div>
    <w:div w:id="1101874838">
      <w:bodyDiv w:val="1"/>
      <w:marLeft w:val="0"/>
      <w:marRight w:val="0"/>
      <w:marTop w:val="0"/>
      <w:marBottom w:val="0"/>
      <w:divBdr>
        <w:top w:val="none" w:sz="0" w:space="0" w:color="auto"/>
        <w:left w:val="none" w:sz="0" w:space="0" w:color="auto"/>
        <w:bottom w:val="none" w:sz="0" w:space="0" w:color="auto"/>
        <w:right w:val="none" w:sz="0" w:space="0" w:color="auto"/>
      </w:divBdr>
    </w:div>
    <w:div w:id="1284196277">
      <w:bodyDiv w:val="1"/>
      <w:marLeft w:val="0"/>
      <w:marRight w:val="0"/>
      <w:marTop w:val="0"/>
      <w:marBottom w:val="0"/>
      <w:divBdr>
        <w:top w:val="none" w:sz="0" w:space="0" w:color="auto"/>
        <w:left w:val="none" w:sz="0" w:space="0" w:color="auto"/>
        <w:bottom w:val="none" w:sz="0" w:space="0" w:color="auto"/>
        <w:right w:val="none" w:sz="0" w:space="0" w:color="auto"/>
      </w:divBdr>
    </w:div>
    <w:div w:id="1655329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241244@med.asu.edu.e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10</Pages>
  <Words>1996</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عبداللطيف على عبد عيدريشه</dc:creator>
  <cp:keywords/>
  <dc:description/>
  <cp:lastModifiedBy>QURAANRAMADAN25@outlook.com</cp:lastModifiedBy>
  <cp:revision>12</cp:revision>
  <cp:lastPrinted>2026-04-09T17:30:00Z</cp:lastPrinted>
  <dcterms:created xsi:type="dcterms:W3CDTF">2026-03-15T18:20:00Z</dcterms:created>
  <dcterms:modified xsi:type="dcterms:W3CDTF">2026-04-09T17:34:00Z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702a9271-b27e-4c69-bcf2-3f4ed3e8e908</vt:lpwstr>
  </property>
</Properties>
</file>