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 SERUM LACTATE AND SHOCK INDEX AS AN EARLY PREDICTOR OF MORTALITY IN POLYTRAUMA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:  Ahmed Ashraf Ahmed Farag </w:t>
      </w:r>
    </w:p>
    <w:p w:rsidR="00000000" w:rsidDel="00000000" w:rsidP="00000000" w:rsidRDefault="00000000" w:rsidRPr="00000000" w14:paraId="00000005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Degree: M.B.B.CH. Ain Shams University </w:t>
      </w:r>
    </w:p>
    <w:p w:rsidR="00000000" w:rsidDel="00000000" w:rsidP="00000000" w:rsidRDefault="00000000" w:rsidRPr="00000000" w14:paraId="0000000B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 Emergency medicine Resident  Ain shams University</w:t>
      </w:r>
    </w:p>
    <w:p w:rsidR="00000000" w:rsidDel="00000000" w:rsidP="00000000" w:rsidRDefault="00000000" w:rsidRPr="00000000" w14:paraId="0000000C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Mobile number : 01146504695  </w:t>
      </w:r>
    </w:p>
    <w:p w:rsidR="00000000" w:rsidDel="00000000" w:rsidP="00000000" w:rsidRDefault="00000000" w:rsidRPr="00000000" w14:paraId="00000013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:  </w:t>
      </w:r>
      <w:hyperlink r:id="rId7">
        <w:r w:rsidDel="00000000" w:rsidR="00000000" w:rsidRPr="00000000">
          <w:rPr>
            <w:b w:val="1"/>
            <w:bCs w:val="1"/>
            <w:color w:val="467886"/>
            <w:sz w:val="24"/>
            <w:szCs w:val="24"/>
            <w:u w:val="single"/>
            <w:rtl w:val="0"/>
          </w:rPr>
          <w:t xml:space="preserve">dr.ahmedashraf1998@gmail.com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Wave 1 </w:t>
      </w:r>
    </w:p>
    <w:p w:rsidR="00000000" w:rsidDel="00000000" w:rsidP="00000000" w:rsidRDefault="00000000" w:rsidRPr="00000000" w14:paraId="00000025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-5" w:hanging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Introduction 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Trauma is considered a global public health problem because it is one of the leading causes of death and disability (1,2,3). Trauma is defined as an "injury or cellular disruption caused by a high-energy exchange with the environment that is greater than the body's resistance" (4). 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Shock is the clinical expression of the inability to cover the metabolic needs of the cell, with a circulatory insufficiency that culminates in the inadequate utilization of oxygen, due to a decrease in its availability (5,6). This entity represents a challenge due to its great variability of lesions, ranging from single localized lesions to multiple organ failure (7)  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Vital signs such as heart rate, blood pressure and respiratory rate have been used by different trauma groups to detect early abnormalities. 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shock index (CI) is a physiological outcome obtained from the ratio of heart rate to systolic blood pressure (HR / SBP), which can guide in prehospital and initial emergency care to determine the severity of trauma, and also to detect early hemorrhagic shock (2,8)  </w:t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insideH w:color="000000" w:space="0" w:sz="4" w:val="single"/>
        </w:tblBorders>
        <w:tblLayout w:type="fixed"/>
        <w:tblLook w:val="0000"/>
      </w:tblPr>
      <w:tblGrid>
        <w:gridCol w:w="1997"/>
        <w:gridCol w:w="222"/>
        <w:gridCol w:w="7141"/>
        <w:tblGridChange w:id="0">
          <w:tblGrid>
            <w:gridCol w:w="1997"/>
            <w:gridCol w:w="222"/>
            <w:gridCol w:w="7141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bookmarkStart w:colFirst="0" w:colLast="0" w:name="bookmark=id.fbc05338rn23" w:id="0"/>
          <w:bookmarkEnd w:id="0"/>
          <w:bookmarkStart w:colFirst="0" w:colLast="0" w:name="bookmark=id.urdqrrh59wp1" w:id="1"/>
          <w:bookmarkEnd w:id="1"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0"/>
              </w:tabs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Methods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Study design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540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prospective observational study cohort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Setting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540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study was carried out in the Emergency Department and Trauma Unit of a tertiary care hospital ( Ain Shams University Hospitals) equipped with a multidisciplinary trauma team and intensive care facilities / 24h follow up either in ER or ICU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E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Participants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F">
            <w:pPr>
              <w:tabs>
                <w:tab w:val="left" w:leader="none" w:pos="540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132" w:line="240" w:lineRule="auto"/>
              <w:ind w:left="360" w:firstLine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Cohort study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— Poly trauma patients presented to Ain Shams ER</w:t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1"/>
              </w:numPr>
              <w:spacing w:after="185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Inclusion Criteria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1"/>
              </w:numPr>
              <w:spacing w:after="185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Age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≥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16  and  &lt; 70 in both male and female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"/>
              </w:numPr>
              <w:spacing w:after="185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Non Pregnant patient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1"/>
              </w:numPr>
              <w:spacing w:after="185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Agree consent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1"/>
              </w:numPr>
              <w:spacing w:after="185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History of trauma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≤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24h-36h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1"/>
              </w:numPr>
              <w:spacing w:after="185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ISS&gt;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"/>
              </w:numPr>
              <w:spacing w:after="185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SERUM LACTATE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≥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2 mmol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1"/>
              </w:numPr>
              <w:spacing w:after="185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1"/>
              </w:numPr>
              <w:spacing w:after="231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Exclusion Criteria: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1"/>
              </w:numPr>
              <w:spacing w:after="231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Age &lt;16 in both male and female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1"/>
              </w:numPr>
              <w:spacing w:after="231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History of trauma &gt; 24 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1"/>
              </w:numPr>
              <w:spacing w:after="231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Pregnant patient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1"/>
              </w:numPr>
              <w:spacing w:after="231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Refuse concent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1"/>
              </w:numPr>
              <w:spacing w:after="231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Hepatic chronic illness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1"/>
              </w:numPr>
              <w:spacing w:after="231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 &lt; 10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1"/>
              </w:numPr>
              <w:spacing w:after="231" w:line="240" w:lineRule="auto"/>
              <w:ind w:left="108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Serum lactate &lt; 2 mmol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5400"/>
              </w:tabs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4" w:hRule="atLeast"/>
          <w:tblHeader w:val="0"/>
        </w:trPr>
        <w:tc>
          <w:tcPr/>
          <w:bookmarkStart w:colFirst="0" w:colLast="0" w:name="bookmark=id.tzj5ccgxm5no" w:id="2"/>
          <w:bookmarkEnd w:id="2"/>
          <w:bookmarkStart w:colFirst="0" w:colLast="0" w:name="bookmark=id.acby0rxr5urv" w:id="3"/>
          <w:bookmarkEnd w:id="3"/>
          <w:p w:rsidR="00000000" w:rsidDel="00000000" w:rsidP="00000000" w:rsidRDefault="00000000" w:rsidRPr="00000000" w14:paraId="00000059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sources/</w:t>
            </w:r>
            <w:bookmarkStart w:colFirst="0" w:colLast="0" w:name="bookmark=id.dxiu19ian4qn" w:id="4"/>
            <w:bookmarkEnd w:id="4"/>
            <w:bookmarkStart w:colFirst="0" w:colLast="0" w:name="bookmark=id.80ly3h7c9ter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 measurement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540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4" w:line="41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Measuring serum lactate level in poly trauma patient and shock index ( HR/ SBP)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Study size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540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32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Poly trauma patients presented to AinShams ER Regarding inclusion and exclusion criteria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bookmarkStart w:colFirst="0" w:colLast="0" w:name="bookmark=id.zi1hx43o4kt" w:id="6"/>
          <w:bookmarkEnd w:id="6"/>
          <w:p w:rsidR="00000000" w:rsidDel="00000000" w:rsidP="00000000" w:rsidRDefault="00000000" w:rsidRPr="00000000" w14:paraId="00000061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Statistical</w:t>
            </w:r>
            <w:bookmarkStart w:colFirst="0" w:colLast="0" w:name="bookmark=id.qzqtl6wumfuu" w:id="7"/>
            <w:bookmarkEnd w:id="7"/>
            <w:r w:rsidDel="00000000" w:rsidR="00000000" w:rsidRPr="00000000">
              <w:rPr>
                <w:sz w:val="24"/>
                <w:szCs w:val="24"/>
                <w:rtl w:val="0"/>
              </w:rPr>
              <w:t xml:space="preserve"> methods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2">
            <w:pPr>
              <w:tabs>
                <w:tab w:val="left" w:leader="none" w:pos="540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Sample Size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540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By using Power Analysis and Sample Size Software (PASS 15) (Version 15.0.10) for sample size calculation, with a power of 95%, a significance level of 0.05, and based on the previous study by García et al. (2024), which reported a mortality incidence of 12% among polytraumatized patients and diagnostic accuracy with areas under the ROC curve of 0.939 for lactate level and 0.937 for shock index; Based on that and accounting for 20% dropout rate, a sample size of at least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54 patients with a trauma history within 24 to 36 hours, an Injury Severity Score (ISS) greater than 10, and serum lactate levels exceeding 2 mmol/L</w:t>
      </w:r>
      <w:r w:rsidDel="00000000" w:rsidR="00000000" w:rsidRPr="00000000">
        <w:rPr>
          <w:sz w:val="24"/>
          <w:szCs w:val="24"/>
          <w:rtl w:val="0"/>
        </w:rPr>
        <w:t xml:space="preserve"> will be needed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3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Ethical Considerations   : The study will be approved by research ethical committee of the faculty of medicine of ain shams university , the data will be anonymously analyzed so the confidentiality of the patient will be preserved </w:t>
      </w:r>
    </w:p>
    <w:p w:rsidR="00000000" w:rsidDel="00000000" w:rsidP="00000000" w:rsidRDefault="00000000" w:rsidRPr="00000000" w14:paraId="0000006D">
      <w:pPr>
        <w:spacing w:after="13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3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3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3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3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3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3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3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I.</w:t>
        <w:tab/>
        <w:t xml:space="preserve">Charry J, Bermeo J, Montoya K, et al. Shock Index as a Predictor of Mortality in Patients with Penetrating Chest Trauma. Rev Colomb Cir 2021; 30: 24-28.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(2) II.</w:t>
        <w:tab/>
        <w:t xml:space="preserve">Montoya K, Charry J, Calle J, et al. Shock Index as Mortality Predictor in Patients with Acute Polytrauma. Journal of Acute Disease 2021; 4(3): 202-204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(3) III.</w:t>
        <w:tab/>
        <w:t xml:space="preserve">Pino F, Ballesteros M, Cordero L, et al. Quality and Records in Trauma. Med Intensiva. 2021; 39(2):114---123.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(4) Parra V. Hemorrhagic shock. Rev Med Clin Condes 2017; 22(3): 255-265.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(5) Richards J. Wilcox S. Diagnosis and Management of Shock in the Emergency. Emergency Medicine Practice 2020; 16 (3): 1-24.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(6)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VI.Vincent J, De Backer D. Circulatory Shock. N Engl J Med 2019; 369:1726-1734.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(7) VII.</w:t>
        <w:tab/>
        <w:t xml:space="preserve">Foëx B A. Systemic Responses to Trauma. British Medical Bulletin 1999; 55(4): 726- 743.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(8) VIII.</w:t>
        <w:tab/>
        <w:t xml:space="preserve">Olaussen A, Blackburn T, Mitra B, et al. Shock Index for Prediction of Critical Bleeding Post-trauma. A Systematic Review. Emergency Medicine Australasia 2020; 26: 223-228.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(9) IX.</w:t>
        <w:tab/>
        <w:t xml:space="preserve">Mutschler M, Nienaber U, Brockamp T. A Base Deficit-based Classification for Hypovolemic Shock Developed on Data from Patients Derived from Trauma. Critical Care 2019, 17: 42 </w:t>
      </w:r>
    </w:p>
    <w:p w:rsidR="00000000" w:rsidDel="00000000" w:rsidP="00000000" w:rsidRDefault="00000000" w:rsidRPr="00000000" w14:paraId="0000007E">
      <w:pPr>
        <w:spacing w:after="13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080" w:hanging="1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53" w:hanging="185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73" w:hanging="257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93" w:hanging="329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13" w:hanging="401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33" w:hanging="473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53" w:hanging="545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73" w:hanging="617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C727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C727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C727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C727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C727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C727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C727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C727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C727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C727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C727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C727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C727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C727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C727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C727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C727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C727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C727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C727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C7278"/>
    <w:rPr>
      <w:b w:val="1"/>
      <w:bCs w:val="1"/>
      <w:smallCaps w:val="1"/>
      <w:color w:val="0f4761" w:themeColor="accent1" w:themeShade="0000BF"/>
      <w:spacing w:val="5"/>
    </w:rPr>
  </w:style>
  <w:style w:type="paragraph" w:styleId="TableSubHead" w:customStyle="1">
    <w:name w:val="TableSubHead"/>
    <w:basedOn w:val="Normal"/>
    <w:rsid w:val="00EA3770"/>
    <w:pPr>
      <w:spacing w:after="0" w:before="120" w:line="240" w:lineRule="auto"/>
    </w:pPr>
    <w:rPr>
      <w:rFonts w:ascii="Times New Roman" w:cs="Times New Roman" w:eastAsia="Times New Roman" w:hAnsi="Times New Roman"/>
      <w:b w:val="1"/>
      <w:color w:val="auto"/>
      <w:sz w:val="24"/>
      <w:szCs w:val="20"/>
      <w:lang w:val="en-GB"/>
    </w:rPr>
  </w:style>
  <w:style w:type="character" w:styleId="Hyperlink">
    <w:name w:val="Hyperlink"/>
    <w:basedOn w:val="DefaultParagraphFont"/>
    <w:uiPriority w:val="99"/>
    <w:unhideWhenUsed w:val="1"/>
    <w:rsid w:val="007859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8593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r.ahmedashraf1998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3L6SWCOJGLskg/yCTu3dbrgcHQ==">CgMxLjAyD2lkLmZiYzA1MzM4cm4yMzIPaWQudXJkcXJyaDU5d3AxMg9pZC50emo1Y2NneG01bm8yD2lkLmFjYnkwcnhyNXVydjIPaWQuZHhpdTE5aWFuNHFuMg9pZC44MGx5M2g3Yzl0ZXIyDmlkLnppMWh4NDNvNGt0Mg9pZC5xenF0bDZ3dW1mdXU4AGohChRzdWdnZXN0LjIwODl3NmttcnljbRIJTWV0aG9kaWNhaiEKFHN1Z2dlc3QudnZxYnNicTllbzRxEglNZXRob2RpY2FyITFJSldEVjB3WlA3NWlvbzRCMjZYeXNyX2pZdm1oQThS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2026-03-10T06:12:00Z</dcterms:created>
  <dc:creator>ahmed ashraf</dc:creator>
</cp:coreProperties>
</file>