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67A" w:rsidRPr="00CA267A" w:rsidRDefault="00CA267A" w:rsidP="00CA267A">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color w:val="000000"/>
          <w:sz w:val="36"/>
          <w:szCs w:val="36"/>
        </w:rPr>
        <w:t>Name</w:t>
      </w:r>
      <w:r w:rsidRPr="00CA267A">
        <w:rPr>
          <w:rFonts w:ascii="Times New Roman" w:eastAsia="Times New Roman" w:hAnsi="Times New Roman" w:cs="Times New Roman"/>
          <w:color w:val="000000"/>
          <w:sz w:val="36"/>
          <w:szCs w:val="36"/>
        </w:rPr>
        <w:t xml:space="preserve">: Menna Ahmed </w:t>
      </w:r>
      <w:proofErr w:type="spellStart"/>
      <w:r w:rsidRPr="00CA267A">
        <w:rPr>
          <w:rFonts w:ascii="Times New Roman" w:eastAsia="Times New Roman" w:hAnsi="Times New Roman" w:cs="Times New Roman"/>
          <w:color w:val="000000"/>
          <w:sz w:val="36"/>
          <w:szCs w:val="36"/>
        </w:rPr>
        <w:t>Magd</w:t>
      </w:r>
      <w:proofErr w:type="spellEnd"/>
      <w:r w:rsidRPr="00CA267A">
        <w:rPr>
          <w:rFonts w:ascii="Times New Roman" w:eastAsia="Times New Roman" w:hAnsi="Times New Roman" w:cs="Times New Roman"/>
          <w:color w:val="000000"/>
          <w:sz w:val="36"/>
          <w:szCs w:val="36"/>
        </w:rPr>
        <w:t xml:space="preserve"> El Din</w:t>
      </w:r>
    </w:p>
    <w:p w:rsidR="00CA267A" w:rsidRPr="00CA267A" w:rsidRDefault="00CA267A" w:rsidP="00CA267A">
      <w:pPr>
        <w:spacing w:after="0" w:line="240" w:lineRule="auto"/>
        <w:rPr>
          <w:rFonts w:ascii="Times New Roman" w:eastAsia="Times New Roman" w:hAnsi="Times New Roman" w:cs="Times New Roman"/>
          <w:sz w:val="36"/>
          <w:szCs w:val="36"/>
        </w:rPr>
      </w:pPr>
    </w:p>
    <w:p w:rsidR="00CA267A" w:rsidRPr="00CA267A" w:rsidRDefault="00CA267A" w:rsidP="00CA267A">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color w:val="000000"/>
          <w:sz w:val="36"/>
          <w:szCs w:val="36"/>
        </w:rPr>
        <w:t>University</w:t>
      </w:r>
      <w:r w:rsidRPr="00CA267A">
        <w:rPr>
          <w:rFonts w:ascii="Times New Roman" w:eastAsia="Times New Roman" w:hAnsi="Times New Roman" w:cs="Times New Roman"/>
          <w:color w:val="000000"/>
          <w:sz w:val="36"/>
          <w:szCs w:val="36"/>
        </w:rPr>
        <w:t>: Ain Shams University</w:t>
      </w:r>
    </w:p>
    <w:p w:rsidR="00CA267A" w:rsidRPr="00CA267A" w:rsidRDefault="00CA267A" w:rsidP="00CA267A">
      <w:pPr>
        <w:spacing w:after="0" w:line="240" w:lineRule="auto"/>
        <w:rPr>
          <w:rFonts w:ascii="Times New Roman" w:eastAsia="Times New Roman" w:hAnsi="Times New Roman" w:cs="Times New Roman"/>
          <w:sz w:val="36"/>
          <w:szCs w:val="36"/>
        </w:rPr>
      </w:pPr>
    </w:p>
    <w:p w:rsidR="00CA267A" w:rsidRPr="00CA267A" w:rsidRDefault="00CA267A" w:rsidP="00CA267A">
      <w:pPr>
        <w:spacing w:after="0" w:line="240" w:lineRule="auto"/>
        <w:jc w:val="center"/>
        <w:rPr>
          <w:rFonts w:ascii="Times New Roman" w:eastAsia="Times New Roman" w:hAnsi="Times New Roman" w:cs="Times New Roman"/>
          <w:sz w:val="36"/>
          <w:szCs w:val="36"/>
        </w:rPr>
      </w:pPr>
      <w:r w:rsidRPr="00CA267A">
        <w:rPr>
          <w:rFonts w:ascii="Times New Roman" w:eastAsia="Times New Roman" w:hAnsi="Times New Roman" w:cs="Times New Roman"/>
          <w:color w:val="000000"/>
          <w:sz w:val="36"/>
          <w:szCs w:val="36"/>
        </w:rPr>
        <w:t>Profession: GP </w:t>
      </w:r>
    </w:p>
    <w:p w:rsidR="00CA267A" w:rsidRPr="00CA267A" w:rsidRDefault="00CA267A" w:rsidP="00CA267A">
      <w:pPr>
        <w:spacing w:after="0" w:line="240" w:lineRule="auto"/>
        <w:rPr>
          <w:rFonts w:ascii="Times New Roman" w:eastAsia="Times New Roman" w:hAnsi="Times New Roman" w:cs="Times New Roman"/>
          <w:sz w:val="36"/>
          <w:szCs w:val="36"/>
        </w:rPr>
      </w:pPr>
    </w:p>
    <w:p w:rsidR="00CA267A" w:rsidRPr="00CA267A" w:rsidRDefault="00CA267A" w:rsidP="00CA267A">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color w:val="000000"/>
          <w:sz w:val="36"/>
          <w:szCs w:val="36"/>
        </w:rPr>
        <w:t>Mobile number</w:t>
      </w:r>
      <w:r w:rsidRPr="00CA267A">
        <w:rPr>
          <w:rFonts w:ascii="Times New Roman" w:eastAsia="Times New Roman" w:hAnsi="Times New Roman" w:cs="Times New Roman"/>
          <w:color w:val="000000"/>
          <w:sz w:val="36"/>
          <w:szCs w:val="36"/>
        </w:rPr>
        <w:t>: 01147815743</w:t>
      </w:r>
    </w:p>
    <w:p w:rsidR="00CA267A" w:rsidRPr="00CA267A" w:rsidRDefault="00CA267A" w:rsidP="00CA267A">
      <w:pPr>
        <w:spacing w:after="0" w:line="240" w:lineRule="auto"/>
        <w:rPr>
          <w:rFonts w:ascii="Times New Roman" w:eastAsia="Times New Roman" w:hAnsi="Times New Roman" w:cs="Times New Roman"/>
          <w:sz w:val="36"/>
          <w:szCs w:val="36"/>
        </w:rPr>
      </w:pPr>
    </w:p>
    <w:p w:rsidR="00CA267A" w:rsidRPr="00CA267A" w:rsidRDefault="00CA267A" w:rsidP="00CA267A">
      <w:pPr>
        <w:spacing w:after="0" w:line="240" w:lineRule="auto"/>
        <w:jc w:val="center"/>
        <w:rPr>
          <w:rFonts w:ascii="Times New Roman" w:eastAsia="Times New Roman" w:hAnsi="Times New Roman" w:cs="Times New Roman"/>
          <w:sz w:val="36"/>
          <w:szCs w:val="36"/>
        </w:rPr>
      </w:pPr>
      <w:r w:rsidRPr="00CA267A">
        <w:rPr>
          <w:rFonts w:ascii="Times New Roman" w:eastAsia="Times New Roman" w:hAnsi="Times New Roman" w:cs="Times New Roman"/>
          <w:color w:val="000000"/>
          <w:sz w:val="36"/>
          <w:szCs w:val="36"/>
        </w:rPr>
        <w:t xml:space="preserve">Email address : </w:t>
      </w:r>
      <w:hyperlink r:id="rId4" w:history="1">
        <w:r w:rsidRPr="00CA267A">
          <w:rPr>
            <w:rFonts w:ascii="Times New Roman" w:eastAsia="Times New Roman" w:hAnsi="Times New Roman" w:cs="Times New Roman"/>
            <w:color w:val="1155CC"/>
            <w:sz w:val="36"/>
            <w:szCs w:val="36"/>
            <w:u w:val="single"/>
          </w:rPr>
          <w:t>thmenna.ahmed.2001@gmail.com</w:t>
        </w:r>
      </w:hyperlink>
    </w:p>
    <w:p w:rsidR="00CA267A" w:rsidRPr="00CA267A" w:rsidRDefault="00CA267A" w:rsidP="00CA267A">
      <w:pPr>
        <w:spacing w:after="0" w:line="240" w:lineRule="auto"/>
        <w:rPr>
          <w:rFonts w:ascii="Times New Roman" w:eastAsia="Times New Roman" w:hAnsi="Times New Roman" w:cs="Times New Roman"/>
          <w:sz w:val="36"/>
          <w:szCs w:val="36"/>
        </w:rPr>
      </w:pPr>
    </w:p>
    <w:p w:rsidR="00CA267A" w:rsidRPr="00CA267A" w:rsidRDefault="00CA267A" w:rsidP="00CA267A">
      <w:pPr>
        <w:spacing w:after="0" w:line="240" w:lineRule="auto"/>
        <w:jc w:val="center"/>
        <w:rPr>
          <w:rFonts w:ascii="Times New Roman" w:eastAsia="Times New Roman" w:hAnsi="Times New Roman" w:cs="Times New Roman"/>
          <w:sz w:val="36"/>
          <w:szCs w:val="36"/>
        </w:rPr>
      </w:pPr>
      <w:r w:rsidRPr="00CA267A">
        <w:rPr>
          <w:rFonts w:ascii="Times New Roman" w:eastAsia="Times New Roman" w:hAnsi="Times New Roman" w:cs="Times New Roman"/>
          <w:color w:val="000000"/>
          <w:sz w:val="36"/>
          <w:szCs w:val="36"/>
        </w:rPr>
        <w:t>Wave one </w:t>
      </w:r>
    </w:p>
    <w:p w:rsidR="00CA267A" w:rsidRPr="00CA267A" w:rsidRDefault="00CA267A" w:rsidP="00CA267A">
      <w:pPr>
        <w:spacing w:after="240" w:line="240" w:lineRule="auto"/>
        <w:rPr>
          <w:rFonts w:ascii="Times New Roman" w:eastAsia="Times New Roman" w:hAnsi="Times New Roman" w:cs="Times New Roman"/>
          <w:sz w:val="24"/>
          <w:szCs w:val="24"/>
        </w:rPr>
      </w:pP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r w:rsidRPr="00CA267A">
        <w:rPr>
          <w:rFonts w:ascii="Times New Roman" w:eastAsia="Times New Roman" w:hAnsi="Times New Roman" w:cs="Times New Roman"/>
          <w:sz w:val="24"/>
          <w:szCs w:val="24"/>
        </w:rPr>
        <w:br/>
      </w: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Default="00CA267A" w:rsidP="00CA267A">
      <w:pPr>
        <w:spacing w:before="120" w:after="120" w:line="240" w:lineRule="auto"/>
        <w:jc w:val="both"/>
        <w:rPr>
          <w:rFonts w:ascii="Times New Roman" w:eastAsia="Times New Roman" w:hAnsi="Times New Roman" w:cs="Times New Roman"/>
          <w:color w:val="000000"/>
          <w:sz w:val="24"/>
          <w:szCs w:val="24"/>
          <w:shd w:val="clear" w:color="auto" w:fill="FFFFFF"/>
        </w:rPr>
      </w:pP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lastRenderedPageBreak/>
        <w:t>Introduction: </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Trauma and trauma related deaths are a global health problem as it causes about 5 million deaths per year. Trauma related mortality ranges from 2-32% globally, while in Egypt it reaches 8%. In an effort to detect any abnormalities early, vital signs such as heart rate, blood pressure and respiratory r</w:t>
      </w:r>
      <w:r w:rsidR="006D697B">
        <w:rPr>
          <w:rFonts w:asciiTheme="majorBidi" w:eastAsia="Times New Roman" w:hAnsiTheme="majorBidi" w:cstheme="majorBidi"/>
          <w:sz w:val="24"/>
          <w:szCs w:val="24"/>
          <w:shd w:val="clear" w:color="auto" w:fill="FFFFFF"/>
        </w:rPr>
        <w:t>ate are often measured, however</w:t>
      </w:r>
      <w:r>
        <w:rPr>
          <w:rFonts w:asciiTheme="majorBidi" w:eastAsia="Times New Roman" w:hAnsiTheme="majorBidi" w:cstheme="majorBidi"/>
          <w:sz w:val="24"/>
          <w:szCs w:val="24"/>
          <w:shd w:val="clear" w:color="auto" w:fill="FFFFFF"/>
        </w:rPr>
        <w:t xml:space="preserve"> </w:t>
      </w:r>
      <w:r w:rsidRPr="00CA267A">
        <w:rPr>
          <w:rFonts w:asciiTheme="majorBidi" w:eastAsia="Times New Roman" w:hAnsiTheme="majorBidi" w:cstheme="majorBidi"/>
          <w:sz w:val="24"/>
          <w:szCs w:val="24"/>
          <w:shd w:val="clear" w:color="auto" w:fill="FFFFFF"/>
        </w:rPr>
        <w:t>they may appear normal in some critically ill patients, which could delay immediate treatment.  The shock index is a ratio between heart rate and systolic blood pressure, it’s a physiological score that can be u</w:t>
      </w:r>
      <w:r>
        <w:rPr>
          <w:rFonts w:asciiTheme="majorBidi" w:eastAsia="Times New Roman" w:hAnsiTheme="majorBidi" w:cstheme="majorBidi"/>
          <w:sz w:val="24"/>
          <w:szCs w:val="24"/>
          <w:shd w:val="clear" w:color="auto" w:fill="FFFFFF"/>
        </w:rPr>
        <w:t>sed for guiding emergency care,</w:t>
      </w:r>
      <w:r w:rsidRPr="00CA267A">
        <w:rPr>
          <w:rFonts w:asciiTheme="majorBidi" w:eastAsia="Times New Roman" w:hAnsiTheme="majorBidi" w:cstheme="majorBidi"/>
          <w:sz w:val="24"/>
          <w:szCs w:val="24"/>
          <w:shd w:val="clear" w:color="auto" w:fill="FFFFFF"/>
        </w:rPr>
        <w:t xml:space="preserve"> to assess trauma severity and early hemorrhagic shock which is often a preventable death. It is an optimal triage and screening tool due to how simple and instantly available it is in comparison to other recognized scores which are based on results of investigations and imaging that take a longer to time to be evaluated. The aim of this study is to assess if the shock index can predict mortality in </w:t>
      </w:r>
      <w:proofErr w:type="spellStart"/>
      <w:r w:rsidRPr="00CA267A">
        <w:rPr>
          <w:rFonts w:asciiTheme="majorBidi" w:eastAsia="Times New Roman" w:hAnsiTheme="majorBidi" w:cstheme="majorBidi"/>
          <w:sz w:val="24"/>
          <w:szCs w:val="24"/>
          <w:shd w:val="clear" w:color="auto" w:fill="FFFFFF"/>
        </w:rPr>
        <w:t>polytraum</w:t>
      </w:r>
      <w:bookmarkStart w:id="0" w:name="_GoBack"/>
      <w:bookmarkEnd w:id="0"/>
      <w:r w:rsidRPr="00CA267A">
        <w:rPr>
          <w:rFonts w:asciiTheme="majorBidi" w:eastAsia="Times New Roman" w:hAnsiTheme="majorBidi" w:cstheme="majorBidi"/>
          <w:sz w:val="24"/>
          <w:szCs w:val="24"/>
          <w:shd w:val="clear" w:color="auto" w:fill="FFFFFF"/>
        </w:rPr>
        <w:t>a</w:t>
      </w:r>
      <w:proofErr w:type="spellEnd"/>
      <w:r w:rsidRPr="00CA267A">
        <w:rPr>
          <w:rFonts w:asciiTheme="majorBidi" w:eastAsia="Times New Roman" w:hAnsiTheme="majorBidi" w:cstheme="majorBidi"/>
          <w:sz w:val="24"/>
          <w:szCs w:val="24"/>
          <w:shd w:val="clear" w:color="auto" w:fill="FFFFFF"/>
        </w:rPr>
        <w:t xml:space="preserve"> patients.</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shd w:val="clear" w:color="auto" w:fill="FFFFFF"/>
        </w:rPr>
        <w:t>Methodology</w:t>
      </w:r>
      <w:r w:rsidRPr="00CA267A">
        <w:rPr>
          <w:rFonts w:asciiTheme="majorBidi" w:eastAsia="Times New Roman" w:hAnsiTheme="majorBidi" w:cstheme="majorBidi"/>
          <w:sz w:val="24"/>
          <w:szCs w:val="24"/>
          <w:shd w:val="clear" w:color="auto" w:fill="FFFFFF"/>
        </w:rPr>
        <w:t>:</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This study will be an observational retrospective cohort study of trauma patients admitted to Ain Shams University Hospital from January 2025 to December 2025.</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We will perform a review of medical records and then fill out a form with epidemiologic, clinical, and social data.</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Eligibility criteria:</w:t>
      </w:r>
    </w:p>
    <w:p w:rsidR="00CA267A" w:rsidRPr="00CA267A" w:rsidRDefault="006D697B" w:rsidP="00CA267A">
      <w:pPr>
        <w:spacing w:before="120" w:after="120" w:line="36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shd w:val="clear" w:color="auto" w:fill="FFFFFF"/>
        </w:rPr>
        <w:t>All adult trauma patients (</w:t>
      </w:r>
      <w:r w:rsidR="00CA267A" w:rsidRPr="00CA267A">
        <w:rPr>
          <w:rFonts w:asciiTheme="majorBidi" w:eastAsia="Times New Roman" w:hAnsiTheme="majorBidi" w:cstheme="majorBidi"/>
          <w:sz w:val="24"/>
          <w:szCs w:val="24"/>
          <w:shd w:val="clear" w:color="auto" w:fill="FFFFFF"/>
        </w:rPr>
        <w:t>above 18 years old), excluding patients who were transferred from other medical facilities, had missing vitals, had a severe head trauma score (Head-Abbreviated Injury Scale&gt;3), and had burn injuries. This exclusion is due to the different nature of these injuries, which cause a different physiologic response among these patients.</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These data points will be extracted for each patient:</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 xml:space="preserve">Age, gender, vitals at the ED (HR, SBP), serum lactate level, type of </w:t>
      </w:r>
      <w:proofErr w:type="gramStart"/>
      <w:r w:rsidRPr="00CA267A">
        <w:rPr>
          <w:rFonts w:asciiTheme="majorBidi" w:eastAsia="Times New Roman" w:hAnsiTheme="majorBidi" w:cstheme="majorBidi"/>
          <w:sz w:val="24"/>
          <w:szCs w:val="24"/>
          <w:shd w:val="clear" w:color="auto" w:fill="FFFFFF"/>
        </w:rPr>
        <w:t>injury(</w:t>
      </w:r>
      <w:proofErr w:type="gramEnd"/>
      <w:r w:rsidRPr="00CA267A">
        <w:rPr>
          <w:rFonts w:asciiTheme="majorBidi" w:eastAsia="Times New Roman" w:hAnsiTheme="majorBidi" w:cstheme="majorBidi"/>
          <w:sz w:val="24"/>
          <w:szCs w:val="24"/>
          <w:shd w:val="clear" w:color="auto" w:fill="FFFFFF"/>
        </w:rPr>
        <w:t>injury severity score, head AIS score, thorax AIS score, abdomen AIS score, and extremity AIS score), 24h blood transfusion requirements, and 24h and in-hospital mortality. Shock index is calculated for all patients by dividing the heart rate (beats per minute) by the systolic blood pressure (mmHg).</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Outcome measures are 24h and in-hospital mortality, and 24h blood transfusion requirements </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lastRenderedPageBreak/>
        <w:t>Statistical analysis: </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SI will be calculated for each patient: HR/SBP. The standard ratio is 0.5 to 0.7 for normal individuals. According to published research, an SI ratio greater than 0.9 is considered a threshold for increased mortality risk. Data will be presented as proportions for nominal variables, medians (interquartile range) for ordinal variables, or mean (± standard deviation) for continuous variables. We will analyze the differences in categorical and continuous variables by the chi-square test and student’s t-test, as suitable.</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We will perform a multivariable logistic regression analysis for the predictors of mortality using the relevant covariates such as age, sex, ISS, serum lactate level, ED vitals, and SI</w:t>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shd w:val="clear" w:color="auto" w:fill="FFFFFF"/>
        </w:rPr>
        <w:t>Pearson correlation coefficients will be used to evaluate the relationship between SI and the outcome variables. A p-value&lt;0.05 is considered statistically significant.</w:t>
      </w:r>
    </w:p>
    <w:p w:rsidR="00CA267A" w:rsidRDefault="00CA267A" w:rsidP="00CA267A">
      <w:pPr>
        <w:spacing w:after="240" w:line="360" w:lineRule="auto"/>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p>
    <w:p w:rsidR="00CA267A" w:rsidRDefault="00CA267A" w:rsidP="00CA267A">
      <w:pPr>
        <w:spacing w:after="240" w:line="360" w:lineRule="auto"/>
        <w:rPr>
          <w:rFonts w:asciiTheme="majorBidi" w:eastAsia="Times New Roman" w:hAnsiTheme="majorBidi" w:cstheme="majorBidi"/>
          <w:sz w:val="24"/>
          <w:szCs w:val="24"/>
        </w:rPr>
      </w:pPr>
    </w:p>
    <w:p w:rsidR="00CA267A" w:rsidRDefault="00CA267A" w:rsidP="00CA267A">
      <w:pPr>
        <w:spacing w:after="240" w:line="360" w:lineRule="auto"/>
        <w:rPr>
          <w:rFonts w:asciiTheme="majorBidi" w:eastAsia="Times New Roman" w:hAnsiTheme="majorBidi" w:cstheme="majorBidi"/>
          <w:sz w:val="24"/>
          <w:szCs w:val="24"/>
        </w:rPr>
      </w:pPr>
    </w:p>
    <w:p w:rsidR="00CA267A" w:rsidRPr="00CA267A" w:rsidRDefault="00CA267A" w:rsidP="00CA267A">
      <w:pPr>
        <w:spacing w:after="240" w:line="360" w:lineRule="auto"/>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br/>
      </w:r>
    </w:p>
    <w:p w:rsidR="00CA267A" w:rsidRPr="00CA267A" w:rsidRDefault="00CA267A" w:rsidP="00CA267A">
      <w:pPr>
        <w:spacing w:before="120" w:after="12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lastRenderedPageBreak/>
        <w:t>Data collection form:</w:t>
      </w:r>
    </w:p>
    <w:tbl>
      <w:tblPr>
        <w:tblW w:w="0" w:type="auto"/>
        <w:tblCellMar>
          <w:top w:w="15" w:type="dxa"/>
          <w:left w:w="15" w:type="dxa"/>
          <w:bottom w:w="15" w:type="dxa"/>
          <w:right w:w="15" w:type="dxa"/>
        </w:tblCellMar>
        <w:tblLook w:val="04A0" w:firstRow="1" w:lastRow="0" w:firstColumn="1" w:lastColumn="0" w:noHBand="0" w:noVBand="1"/>
      </w:tblPr>
      <w:tblGrid>
        <w:gridCol w:w="3660"/>
        <w:gridCol w:w="2348"/>
      </w:tblGrid>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Patient initials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rPr>
                <w:rFonts w:asciiTheme="majorBidi" w:eastAsia="Times New Roman" w:hAnsiTheme="majorBidi" w:cstheme="majorBidi"/>
                <w:sz w:val="24"/>
                <w:szCs w:val="24"/>
              </w:rPr>
            </w:pP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years</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Gender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F/M</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Beats/minute</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Systolic blood pressure (SBP)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mmHg</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Serum lactate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          </w:t>
            </w:r>
            <w:proofErr w:type="spellStart"/>
            <w:r w:rsidRPr="00CA267A">
              <w:rPr>
                <w:rFonts w:asciiTheme="majorBidi" w:eastAsia="Times New Roman" w:hAnsiTheme="majorBidi" w:cstheme="majorBidi"/>
                <w:sz w:val="24"/>
                <w:szCs w:val="24"/>
              </w:rPr>
              <w:t>mmol</w:t>
            </w:r>
            <w:proofErr w:type="spellEnd"/>
            <w:r w:rsidRPr="00CA267A">
              <w:rPr>
                <w:rFonts w:asciiTheme="majorBidi" w:eastAsia="Times New Roman" w:hAnsiTheme="majorBidi" w:cstheme="majorBidi"/>
                <w:sz w:val="24"/>
                <w:szCs w:val="24"/>
              </w:rPr>
              <w:t>/L</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Injury severity score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/75</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Head 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rPr>
                <w:rFonts w:asciiTheme="majorBidi" w:eastAsia="Times New Roman" w:hAnsiTheme="majorBidi" w:cstheme="majorBidi"/>
                <w:sz w:val="24"/>
                <w:szCs w:val="24"/>
              </w:rPr>
            </w:pP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Thorax 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rPr>
                <w:rFonts w:asciiTheme="majorBidi" w:eastAsia="Times New Roman" w:hAnsiTheme="majorBidi" w:cstheme="majorBidi"/>
                <w:sz w:val="24"/>
                <w:szCs w:val="24"/>
              </w:rPr>
            </w:pP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Abdomen 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rPr>
                <w:rFonts w:asciiTheme="majorBidi" w:eastAsia="Times New Roman" w:hAnsiTheme="majorBidi" w:cstheme="majorBidi"/>
                <w:sz w:val="24"/>
                <w:szCs w:val="24"/>
              </w:rPr>
            </w:pP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Extremity AIS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rPr>
                <w:rFonts w:asciiTheme="majorBidi" w:eastAsia="Times New Roman" w:hAnsiTheme="majorBidi" w:cstheme="majorBidi"/>
                <w:sz w:val="24"/>
                <w:szCs w:val="24"/>
              </w:rPr>
            </w:pP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24H blood transfusion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Units of PRBCs</w:t>
            </w:r>
          </w:p>
        </w:tc>
      </w:tr>
      <w:tr w:rsidR="00CA267A" w:rsidRPr="00CA267A" w:rsidTr="00CA26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24h mortality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Yes/No</w:t>
            </w:r>
          </w:p>
        </w:tc>
      </w:tr>
      <w:tr w:rsidR="00CA267A" w:rsidRPr="00CA267A" w:rsidTr="00CA267A">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In hospital mortality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   Yes/No</w:t>
            </w:r>
          </w:p>
        </w:tc>
      </w:tr>
      <w:tr w:rsidR="00CA267A" w:rsidRPr="00CA267A" w:rsidTr="00CA267A">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Shock index (HR/SBP)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A267A" w:rsidRPr="00CA267A" w:rsidRDefault="00CA267A" w:rsidP="00CA267A">
            <w:pPr>
              <w:spacing w:after="0" w:line="360" w:lineRule="auto"/>
              <w:rPr>
                <w:rFonts w:asciiTheme="majorBidi" w:eastAsia="Times New Roman" w:hAnsiTheme="majorBidi" w:cstheme="majorBidi"/>
                <w:sz w:val="24"/>
                <w:szCs w:val="24"/>
              </w:rPr>
            </w:pPr>
          </w:p>
        </w:tc>
      </w:tr>
    </w:tbl>
    <w:p w:rsidR="00CA267A" w:rsidRPr="00CA267A" w:rsidRDefault="00CA267A" w:rsidP="00CA267A">
      <w:pPr>
        <w:spacing w:after="240" w:line="360" w:lineRule="auto"/>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lastRenderedPageBreak/>
        <w:t>References:</w:t>
      </w:r>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1.Montoya KF, Charry JD, </w:t>
      </w:r>
      <w:proofErr w:type="spellStart"/>
      <w:r w:rsidRPr="00CA267A">
        <w:rPr>
          <w:rFonts w:asciiTheme="majorBidi" w:eastAsia="Times New Roman" w:hAnsiTheme="majorBidi" w:cstheme="majorBidi"/>
          <w:sz w:val="24"/>
          <w:szCs w:val="24"/>
        </w:rPr>
        <w:t>Calle</w:t>
      </w:r>
      <w:proofErr w:type="spellEnd"/>
      <w:r w:rsidRPr="00CA267A">
        <w:rPr>
          <w:rFonts w:asciiTheme="majorBidi" w:eastAsia="Times New Roman" w:hAnsiTheme="majorBidi" w:cstheme="majorBidi"/>
          <w:sz w:val="24"/>
          <w:szCs w:val="24"/>
        </w:rPr>
        <w:t xml:space="preserve">-Toro JS, </w:t>
      </w:r>
      <w:proofErr w:type="spellStart"/>
      <w:r w:rsidRPr="00CA267A">
        <w:rPr>
          <w:rFonts w:asciiTheme="majorBidi" w:eastAsia="Times New Roman" w:hAnsiTheme="majorBidi" w:cstheme="majorBidi"/>
          <w:sz w:val="24"/>
          <w:szCs w:val="24"/>
        </w:rPr>
        <w:t>Núñez</w:t>
      </w:r>
      <w:proofErr w:type="spellEnd"/>
      <w:r w:rsidRPr="00CA267A">
        <w:rPr>
          <w:rFonts w:asciiTheme="majorBidi" w:eastAsia="Times New Roman" w:hAnsiTheme="majorBidi" w:cstheme="majorBidi"/>
          <w:sz w:val="24"/>
          <w:szCs w:val="24"/>
        </w:rPr>
        <w:t xml:space="preserve"> LR, </w:t>
      </w:r>
      <w:proofErr w:type="spellStart"/>
      <w:r w:rsidRPr="00CA267A">
        <w:rPr>
          <w:rFonts w:asciiTheme="majorBidi" w:eastAsia="Times New Roman" w:hAnsiTheme="majorBidi" w:cstheme="majorBidi"/>
          <w:sz w:val="24"/>
          <w:szCs w:val="24"/>
        </w:rPr>
        <w:t>Poveda</w:t>
      </w:r>
      <w:proofErr w:type="spellEnd"/>
      <w:r w:rsidRPr="00CA267A">
        <w:rPr>
          <w:rFonts w:asciiTheme="majorBidi" w:eastAsia="Times New Roman" w:hAnsiTheme="majorBidi" w:cstheme="majorBidi"/>
          <w:sz w:val="24"/>
          <w:szCs w:val="24"/>
        </w:rPr>
        <w:t xml:space="preserve"> G. Shock index as a mortality predictor in patients with acute </w:t>
      </w:r>
      <w:proofErr w:type="spellStart"/>
      <w:r w:rsidRPr="00CA267A">
        <w:rPr>
          <w:rFonts w:asciiTheme="majorBidi" w:eastAsia="Times New Roman" w:hAnsiTheme="majorBidi" w:cstheme="majorBidi"/>
          <w:sz w:val="24"/>
          <w:szCs w:val="24"/>
        </w:rPr>
        <w:t>polytrauma</w:t>
      </w:r>
      <w:proofErr w:type="spellEnd"/>
      <w:r w:rsidRPr="00CA267A">
        <w:rPr>
          <w:rFonts w:asciiTheme="majorBidi" w:eastAsia="Times New Roman" w:hAnsiTheme="majorBidi" w:cstheme="majorBidi"/>
          <w:sz w:val="24"/>
          <w:szCs w:val="24"/>
        </w:rPr>
        <w:t xml:space="preserve">. </w:t>
      </w:r>
      <w:r w:rsidRPr="00CA267A">
        <w:rPr>
          <w:rFonts w:asciiTheme="majorBidi" w:eastAsia="Times New Roman" w:hAnsiTheme="majorBidi" w:cstheme="majorBidi"/>
          <w:i/>
          <w:iCs/>
          <w:sz w:val="24"/>
          <w:szCs w:val="24"/>
        </w:rPr>
        <w:t>Journal of Acute Disease</w:t>
      </w:r>
      <w:r w:rsidRPr="00CA267A">
        <w:rPr>
          <w:rFonts w:asciiTheme="majorBidi" w:eastAsia="Times New Roman" w:hAnsiTheme="majorBidi" w:cstheme="majorBidi"/>
          <w:sz w:val="24"/>
          <w:szCs w:val="24"/>
        </w:rPr>
        <w:t xml:space="preserve">. 2015;4(3):202-204. </w:t>
      </w:r>
      <w:proofErr w:type="spellStart"/>
      <w:r w:rsidRPr="00CA267A">
        <w:rPr>
          <w:rFonts w:asciiTheme="majorBidi" w:eastAsia="Times New Roman" w:hAnsiTheme="majorBidi" w:cstheme="majorBidi"/>
          <w:sz w:val="24"/>
          <w:szCs w:val="24"/>
        </w:rPr>
        <w:t>doi:https</w:t>
      </w:r>
      <w:proofErr w:type="spellEnd"/>
      <w:r w:rsidRPr="00CA267A">
        <w:rPr>
          <w:rFonts w:asciiTheme="majorBidi" w:eastAsia="Times New Roman" w:hAnsiTheme="majorBidi" w:cstheme="majorBidi"/>
          <w:sz w:val="24"/>
          <w:szCs w:val="24"/>
        </w:rPr>
        <w:t>://doi.org/10.1016/j.joad.2015.04.006</w:t>
      </w:r>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2.Elbaih AH, Abdallah BS, Ismail MT. Evaluate the incidence, topography, management, and outcomes in patients with </w:t>
      </w:r>
      <w:proofErr w:type="spellStart"/>
      <w:r w:rsidRPr="00CA267A">
        <w:rPr>
          <w:rFonts w:asciiTheme="majorBidi" w:eastAsia="Times New Roman" w:hAnsiTheme="majorBidi" w:cstheme="majorBidi"/>
          <w:sz w:val="24"/>
          <w:szCs w:val="24"/>
        </w:rPr>
        <w:t>polytrauma</w:t>
      </w:r>
      <w:proofErr w:type="spellEnd"/>
      <w:r w:rsidRPr="00CA267A">
        <w:rPr>
          <w:rFonts w:asciiTheme="majorBidi" w:eastAsia="Times New Roman" w:hAnsiTheme="majorBidi" w:cstheme="majorBidi"/>
          <w:sz w:val="24"/>
          <w:szCs w:val="24"/>
        </w:rPr>
        <w:t xml:space="preserve"> in the Suez Canal and Sinai areas. </w:t>
      </w:r>
      <w:r w:rsidRPr="00CA267A">
        <w:rPr>
          <w:rFonts w:asciiTheme="majorBidi" w:eastAsia="Times New Roman" w:hAnsiTheme="majorBidi" w:cstheme="majorBidi"/>
          <w:i/>
          <w:iCs/>
          <w:sz w:val="24"/>
          <w:szCs w:val="24"/>
        </w:rPr>
        <w:t>African Journal of Emergency Medicine</w:t>
      </w:r>
      <w:r w:rsidRPr="00CA267A">
        <w:rPr>
          <w:rFonts w:asciiTheme="majorBidi" w:eastAsia="Times New Roman" w:hAnsiTheme="majorBidi" w:cstheme="majorBidi"/>
          <w:sz w:val="24"/>
          <w:szCs w:val="24"/>
        </w:rPr>
        <w:t xml:space="preserve">. 2023;13(1):30-36. </w:t>
      </w:r>
      <w:proofErr w:type="spellStart"/>
      <w:r w:rsidRPr="00CA267A">
        <w:rPr>
          <w:rFonts w:asciiTheme="majorBidi" w:eastAsia="Times New Roman" w:hAnsiTheme="majorBidi" w:cstheme="majorBidi"/>
          <w:sz w:val="24"/>
          <w:szCs w:val="24"/>
        </w:rPr>
        <w:t>doi:</w:t>
      </w:r>
      <w:hyperlink r:id="rId5" w:history="1">
        <w:r w:rsidRPr="00CA267A">
          <w:rPr>
            <w:rFonts w:asciiTheme="majorBidi" w:eastAsia="Times New Roman" w:hAnsiTheme="majorBidi" w:cstheme="majorBidi"/>
            <w:sz w:val="24"/>
            <w:szCs w:val="24"/>
            <w:u w:val="single"/>
          </w:rPr>
          <w:t>https</w:t>
        </w:r>
        <w:proofErr w:type="spellEnd"/>
        <w:r w:rsidRPr="00CA267A">
          <w:rPr>
            <w:rFonts w:asciiTheme="majorBidi" w:eastAsia="Times New Roman" w:hAnsiTheme="majorBidi" w:cstheme="majorBidi"/>
            <w:sz w:val="24"/>
            <w:szCs w:val="24"/>
            <w:u w:val="single"/>
          </w:rPr>
          <w:t>://doi.org/10.1016/j.afjem.2023.01.002</w:t>
        </w:r>
      </w:hyperlink>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3.Balhara KS, Hsieh YH, </w:t>
      </w:r>
      <w:proofErr w:type="spellStart"/>
      <w:r w:rsidRPr="00CA267A">
        <w:rPr>
          <w:rFonts w:asciiTheme="majorBidi" w:eastAsia="Times New Roman" w:hAnsiTheme="majorBidi" w:cstheme="majorBidi"/>
          <w:sz w:val="24"/>
          <w:szCs w:val="24"/>
        </w:rPr>
        <w:t>Hamade</w:t>
      </w:r>
      <w:proofErr w:type="spellEnd"/>
      <w:r w:rsidRPr="00CA267A">
        <w:rPr>
          <w:rFonts w:asciiTheme="majorBidi" w:eastAsia="Times New Roman" w:hAnsiTheme="majorBidi" w:cstheme="majorBidi"/>
          <w:sz w:val="24"/>
          <w:szCs w:val="24"/>
        </w:rPr>
        <w:t xml:space="preserve"> B, </w:t>
      </w:r>
      <w:proofErr w:type="spellStart"/>
      <w:r w:rsidRPr="00CA267A">
        <w:rPr>
          <w:rFonts w:asciiTheme="majorBidi" w:eastAsia="Times New Roman" w:hAnsiTheme="majorBidi" w:cstheme="majorBidi"/>
          <w:sz w:val="24"/>
          <w:szCs w:val="24"/>
        </w:rPr>
        <w:t>Circh</w:t>
      </w:r>
      <w:proofErr w:type="spellEnd"/>
      <w:r w:rsidRPr="00CA267A">
        <w:rPr>
          <w:rFonts w:asciiTheme="majorBidi" w:eastAsia="Times New Roman" w:hAnsiTheme="majorBidi" w:cstheme="majorBidi"/>
          <w:sz w:val="24"/>
          <w:szCs w:val="24"/>
        </w:rPr>
        <w:t xml:space="preserve"> R, </w:t>
      </w:r>
      <w:proofErr w:type="spellStart"/>
      <w:r w:rsidRPr="00CA267A">
        <w:rPr>
          <w:rFonts w:asciiTheme="majorBidi" w:eastAsia="Times New Roman" w:hAnsiTheme="majorBidi" w:cstheme="majorBidi"/>
          <w:sz w:val="24"/>
          <w:szCs w:val="24"/>
        </w:rPr>
        <w:t>Kelen</w:t>
      </w:r>
      <w:proofErr w:type="spellEnd"/>
      <w:r w:rsidRPr="00CA267A">
        <w:rPr>
          <w:rFonts w:asciiTheme="majorBidi" w:eastAsia="Times New Roman" w:hAnsiTheme="majorBidi" w:cstheme="majorBidi"/>
          <w:sz w:val="24"/>
          <w:szCs w:val="24"/>
        </w:rPr>
        <w:t xml:space="preserve"> GD, </w:t>
      </w:r>
      <w:proofErr w:type="spellStart"/>
      <w:r w:rsidRPr="00CA267A">
        <w:rPr>
          <w:rFonts w:asciiTheme="majorBidi" w:eastAsia="Times New Roman" w:hAnsiTheme="majorBidi" w:cstheme="majorBidi"/>
          <w:sz w:val="24"/>
          <w:szCs w:val="24"/>
        </w:rPr>
        <w:t>Bayram</w:t>
      </w:r>
      <w:proofErr w:type="spellEnd"/>
      <w:r w:rsidRPr="00CA267A">
        <w:rPr>
          <w:rFonts w:asciiTheme="majorBidi" w:eastAsia="Times New Roman" w:hAnsiTheme="majorBidi" w:cstheme="majorBidi"/>
          <w:sz w:val="24"/>
          <w:szCs w:val="24"/>
        </w:rPr>
        <w:t xml:space="preserve"> JD. Clinical metrics in emergency medicine: the shock index and the probability of hospital admission and inpatient mortality. </w:t>
      </w:r>
      <w:r w:rsidRPr="00CA267A">
        <w:rPr>
          <w:rFonts w:asciiTheme="majorBidi" w:eastAsia="Times New Roman" w:hAnsiTheme="majorBidi" w:cstheme="majorBidi"/>
          <w:i/>
          <w:iCs/>
          <w:sz w:val="24"/>
          <w:szCs w:val="24"/>
        </w:rPr>
        <w:t>Emergency Medicine Journal</w:t>
      </w:r>
      <w:r w:rsidRPr="00CA267A">
        <w:rPr>
          <w:rFonts w:asciiTheme="majorBidi" w:eastAsia="Times New Roman" w:hAnsiTheme="majorBidi" w:cstheme="majorBidi"/>
          <w:sz w:val="24"/>
          <w:szCs w:val="24"/>
        </w:rPr>
        <w:t xml:space="preserve">. 2016;34(2):89-94. </w:t>
      </w:r>
      <w:proofErr w:type="spellStart"/>
      <w:r w:rsidRPr="00CA267A">
        <w:rPr>
          <w:rFonts w:asciiTheme="majorBidi" w:eastAsia="Times New Roman" w:hAnsiTheme="majorBidi" w:cstheme="majorBidi"/>
          <w:sz w:val="24"/>
          <w:szCs w:val="24"/>
        </w:rPr>
        <w:t>doi:</w:t>
      </w:r>
      <w:hyperlink r:id="rId6" w:history="1">
        <w:r w:rsidRPr="00CA267A">
          <w:rPr>
            <w:rFonts w:asciiTheme="majorBidi" w:eastAsia="Times New Roman" w:hAnsiTheme="majorBidi" w:cstheme="majorBidi"/>
            <w:sz w:val="24"/>
            <w:szCs w:val="24"/>
            <w:u w:val="single"/>
          </w:rPr>
          <w:t>https</w:t>
        </w:r>
        <w:proofErr w:type="spellEnd"/>
        <w:r w:rsidRPr="00CA267A">
          <w:rPr>
            <w:rFonts w:asciiTheme="majorBidi" w:eastAsia="Times New Roman" w:hAnsiTheme="majorBidi" w:cstheme="majorBidi"/>
            <w:sz w:val="24"/>
            <w:szCs w:val="24"/>
            <w:u w:val="single"/>
          </w:rPr>
          <w:t>://doi.org/10.1136/emermed-2015-205532</w:t>
        </w:r>
      </w:hyperlink>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4.Asim M, El-</w:t>
      </w:r>
      <w:proofErr w:type="spellStart"/>
      <w:r w:rsidRPr="00CA267A">
        <w:rPr>
          <w:rFonts w:asciiTheme="majorBidi" w:eastAsia="Times New Roman" w:hAnsiTheme="majorBidi" w:cstheme="majorBidi"/>
          <w:sz w:val="24"/>
          <w:szCs w:val="24"/>
        </w:rPr>
        <w:t>Menyar</w:t>
      </w:r>
      <w:proofErr w:type="spellEnd"/>
      <w:r w:rsidRPr="00CA267A">
        <w:rPr>
          <w:rFonts w:asciiTheme="majorBidi" w:eastAsia="Times New Roman" w:hAnsiTheme="majorBidi" w:cstheme="majorBidi"/>
          <w:sz w:val="24"/>
          <w:szCs w:val="24"/>
        </w:rPr>
        <w:t xml:space="preserve"> A, </w:t>
      </w:r>
      <w:proofErr w:type="spellStart"/>
      <w:r w:rsidRPr="00CA267A">
        <w:rPr>
          <w:rFonts w:asciiTheme="majorBidi" w:eastAsia="Times New Roman" w:hAnsiTheme="majorBidi" w:cstheme="majorBidi"/>
          <w:sz w:val="24"/>
          <w:szCs w:val="24"/>
        </w:rPr>
        <w:t>Chughtai</w:t>
      </w:r>
      <w:proofErr w:type="spellEnd"/>
      <w:r w:rsidRPr="00CA267A">
        <w:rPr>
          <w:rFonts w:asciiTheme="majorBidi" w:eastAsia="Times New Roman" w:hAnsiTheme="majorBidi" w:cstheme="majorBidi"/>
          <w:sz w:val="24"/>
          <w:szCs w:val="24"/>
        </w:rPr>
        <w:t xml:space="preserve"> T, et al. Shock Index for the Prediction of Interventions and Mortality in Patients </w:t>
      </w:r>
      <w:proofErr w:type="gramStart"/>
      <w:r w:rsidRPr="00CA267A">
        <w:rPr>
          <w:rFonts w:asciiTheme="majorBidi" w:eastAsia="Times New Roman" w:hAnsiTheme="majorBidi" w:cstheme="majorBidi"/>
          <w:sz w:val="24"/>
          <w:szCs w:val="24"/>
        </w:rPr>
        <w:t>With</w:t>
      </w:r>
      <w:proofErr w:type="gramEnd"/>
      <w:r w:rsidRPr="00CA267A">
        <w:rPr>
          <w:rFonts w:asciiTheme="majorBidi" w:eastAsia="Times New Roman" w:hAnsiTheme="majorBidi" w:cstheme="majorBidi"/>
          <w:sz w:val="24"/>
          <w:szCs w:val="24"/>
        </w:rPr>
        <w:t xml:space="preserve"> Blunt Thoracic Trauma. </w:t>
      </w:r>
      <w:r w:rsidRPr="00CA267A">
        <w:rPr>
          <w:rFonts w:asciiTheme="majorBidi" w:eastAsia="Times New Roman" w:hAnsiTheme="majorBidi" w:cstheme="majorBidi"/>
          <w:i/>
          <w:iCs/>
          <w:sz w:val="24"/>
          <w:szCs w:val="24"/>
        </w:rPr>
        <w:t>The Journal of surgical research</w:t>
      </w:r>
      <w:r w:rsidRPr="00CA267A">
        <w:rPr>
          <w:rFonts w:asciiTheme="majorBidi" w:eastAsia="Times New Roman" w:hAnsiTheme="majorBidi" w:cstheme="majorBidi"/>
          <w:sz w:val="24"/>
          <w:szCs w:val="24"/>
        </w:rPr>
        <w:t xml:space="preserve">. </w:t>
      </w:r>
      <w:proofErr w:type="gramStart"/>
      <w:r w:rsidRPr="00CA267A">
        <w:rPr>
          <w:rFonts w:asciiTheme="majorBidi" w:eastAsia="Times New Roman" w:hAnsiTheme="majorBidi" w:cstheme="majorBidi"/>
          <w:sz w:val="24"/>
          <w:szCs w:val="24"/>
        </w:rPr>
        <w:t>2023;283:438</w:t>
      </w:r>
      <w:proofErr w:type="gramEnd"/>
      <w:r w:rsidRPr="00CA267A">
        <w:rPr>
          <w:rFonts w:asciiTheme="majorBidi" w:eastAsia="Times New Roman" w:hAnsiTheme="majorBidi" w:cstheme="majorBidi"/>
          <w:sz w:val="24"/>
          <w:szCs w:val="24"/>
        </w:rPr>
        <w:t xml:space="preserve">-448. </w:t>
      </w:r>
      <w:proofErr w:type="spellStart"/>
      <w:r w:rsidRPr="00CA267A">
        <w:rPr>
          <w:rFonts w:asciiTheme="majorBidi" w:eastAsia="Times New Roman" w:hAnsiTheme="majorBidi" w:cstheme="majorBidi"/>
          <w:sz w:val="24"/>
          <w:szCs w:val="24"/>
        </w:rPr>
        <w:t>doi:</w:t>
      </w:r>
      <w:hyperlink r:id="rId7" w:history="1">
        <w:r w:rsidRPr="00CA267A">
          <w:rPr>
            <w:rFonts w:asciiTheme="majorBidi" w:eastAsia="Times New Roman" w:hAnsiTheme="majorBidi" w:cstheme="majorBidi"/>
            <w:sz w:val="24"/>
            <w:szCs w:val="24"/>
            <w:u w:val="single"/>
          </w:rPr>
          <w:t>https</w:t>
        </w:r>
        <w:proofErr w:type="spellEnd"/>
        <w:r w:rsidRPr="00CA267A">
          <w:rPr>
            <w:rFonts w:asciiTheme="majorBidi" w:eastAsia="Times New Roman" w:hAnsiTheme="majorBidi" w:cstheme="majorBidi"/>
            <w:sz w:val="24"/>
            <w:szCs w:val="24"/>
            <w:u w:val="single"/>
          </w:rPr>
          <w:t>://doi.org/10.1016/j.jss.2022.10.067</w:t>
        </w:r>
      </w:hyperlink>
    </w:p>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5.Hosseinpour H, </w:t>
      </w:r>
      <w:proofErr w:type="spellStart"/>
      <w:r w:rsidRPr="00CA267A">
        <w:rPr>
          <w:rFonts w:asciiTheme="majorBidi" w:eastAsia="Times New Roman" w:hAnsiTheme="majorBidi" w:cstheme="majorBidi"/>
          <w:sz w:val="24"/>
          <w:szCs w:val="24"/>
        </w:rPr>
        <w:t>Anand</w:t>
      </w:r>
      <w:proofErr w:type="spellEnd"/>
      <w:r w:rsidRPr="00CA267A">
        <w:rPr>
          <w:rFonts w:asciiTheme="majorBidi" w:eastAsia="Times New Roman" w:hAnsiTheme="majorBidi" w:cstheme="majorBidi"/>
          <w:sz w:val="24"/>
          <w:szCs w:val="24"/>
        </w:rPr>
        <w:t xml:space="preserve"> T, </w:t>
      </w:r>
      <w:proofErr w:type="spellStart"/>
      <w:r w:rsidRPr="00CA267A">
        <w:rPr>
          <w:rFonts w:asciiTheme="majorBidi" w:eastAsia="Times New Roman" w:hAnsiTheme="majorBidi" w:cstheme="majorBidi"/>
          <w:sz w:val="24"/>
          <w:szCs w:val="24"/>
        </w:rPr>
        <w:t>Bhogadi</w:t>
      </w:r>
      <w:proofErr w:type="spellEnd"/>
      <w:r w:rsidRPr="00CA267A">
        <w:rPr>
          <w:rFonts w:asciiTheme="majorBidi" w:eastAsia="Times New Roman" w:hAnsiTheme="majorBidi" w:cstheme="majorBidi"/>
          <w:sz w:val="24"/>
          <w:szCs w:val="24"/>
        </w:rPr>
        <w:t xml:space="preserve"> SK, et al. Emergency Department Shock Index Outperforms Prehospital and Delta Shock Indices in Predicting Outcomes of Trauma Patients. </w:t>
      </w:r>
      <w:r w:rsidRPr="00CA267A">
        <w:rPr>
          <w:rFonts w:asciiTheme="majorBidi" w:eastAsia="Times New Roman" w:hAnsiTheme="majorBidi" w:cstheme="majorBidi"/>
          <w:i/>
          <w:iCs/>
          <w:sz w:val="24"/>
          <w:szCs w:val="24"/>
        </w:rPr>
        <w:t>The Journal of surgical research</w:t>
      </w:r>
      <w:r w:rsidRPr="00CA267A">
        <w:rPr>
          <w:rFonts w:asciiTheme="majorBidi" w:eastAsia="Times New Roman" w:hAnsiTheme="majorBidi" w:cstheme="majorBidi"/>
          <w:sz w:val="24"/>
          <w:szCs w:val="24"/>
        </w:rPr>
        <w:t xml:space="preserve">. </w:t>
      </w:r>
      <w:proofErr w:type="gramStart"/>
      <w:r w:rsidRPr="00CA267A">
        <w:rPr>
          <w:rFonts w:asciiTheme="majorBidi" w:eastAsia="Times New Roman" w:hAnsiTheme="majorBidi" w:cstheme="majorBidi"/>
          <w:sz w:val="24"/>
          <w:szCs w:val="24"/>
        </w:rPr>
        <w:t>2023;291:204</w:t>
      </w:r>
      <w:proofErr w:type="gramEnd"/>
      <w:r w:rsidRPr="00CA267A">
        <w:rPr>
          <w:rFonts w:asciiTheme="majorBidi" w:eastAsia="Times New Roman" w:hAnsiTheme="majorBidi" w:cstheme="majorBidi"/>
          <w:sz w:val="24"/>
          <w:szCs w:val="24"/>
        </w:rPr>
        <w:t xml:space="preserve">-212. </w:t>
      </w:r>
      <w:proofErr w:type="spellStart"/>
      <w:r w:rsidRPr="00CA267A">
        <w:rPr>
          <w:rFonts w:asciiTheme="majorBidi" w:eastAsia="Times New Roman" w:hAnsiTheme="majorBidi" w:cstheme="majorBidi"/>
          <w:sz w:val="24"/>
          <w:szCs w:val="24"/>
        </w:rPr>
        <w:t>doi:https</w:t>
      </w:r>
      <w:proofErr w:type="spellEnd"/>
      <w:r w:rsidRPr="00CA267A">
        <w:rPr>
          <w:rFonts w:asciiTheme="majorBidi" w:eastAsia="Times New Roman" w:hAnsiTheme="majorBidi" w:cstheme="majorBidi"/>
          <w:sz w:val="24"/>
          <w:szCs w:val="24"/>
        </w:rPr>
        <w:t>://doi.org/10.1016/j.jss.2023.05.008</w:t>
      </w:r>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w:t>
      </w:r>
      <w:proofErr w:type="gramStart"/>
      <w:r w:rsidRPr="00CA267A">
        <w:rPr>
          <w:rFonts w:asciiTheme="majorBidi" w:eastAsia="Times New Roman" w:hAnsiTheme="majorBidi" w:cstheme="majorBidi"/>
          <w:sz w:val="24"/>
          <w:szCs w:val="24"/>
        </w:rPr>
        <w:t>6.Kim</w:t>
      </w:r>
      <w:proofErr w:type="gramEnd"/>
      <w:r w:rsidRPr="00CA267A">
        <w:rPr>
          <w:rFonts w:asciiTheme="majorBidi" w:eastAsia="Times New Roman" w:hAnsiTheme="majorBidi" w:cstheme="majorBidi"/>
          <w:sz w:val="24"/>
          <w:szCs w:val="24"/>
        </w:rPr>
        <w:t xml:space="preserve"> MJ, Park JY, Kim MK, Lee JG. Usefulness of Shock Index to Predict Outcomes of Trauma Patient: A Retrospective Cohort Study. </w:t>
      </w:r>
      <w:r w:rsidRPr="00CA267A">
        <w:rPr>
          <w:rFonts w:asciiTheme="majorBidi" w:eastAsia="Times New Roman" w:hAnsiTheme="majorBidi" w:cstheme="majorBidi"/>
          <w:i/>
          <w:iCs/>
          <w:sz w:val="24"/>
          <w:szCs w:val="24"/>
        </w:rPr>
        <w:t>Journal of Trauma and Injury</w:t>
      </w:r>
      <w:r w:rsidRPr="00CA267A">
        <w:rPr>
          <w:rFonts w:asciiTheme="majorBidi" w:eastAsia="Times New Roman" w:hAnsiTheme="majorBidi" w:cstheme="majorBidi"/>
          <w:sz w:val="24"/>
          <w:szCs w:val="24"/>
        </w:rPr>
        <w:t xml:space="preserve">. 2019;32(1):17-25. </w:t>
      </w:r>
      <w:proofErr w:type="spellStart"/>
      <w:r w:rsidRPr="00CA267A">
        <w:rPr>
          <w:rFonts w:asciiTheme="majorBidi" w:eastAsia="Times New Roman" w:hAnsiTheme="majorBidi" w:cstheme="majorBidi"/>
          <w:sz w:val="24"/>
          <w:szCs w:val="24"/>
        </w:rPr>
        <w:t>doi:</w:t>
      </w:r>
      <w:hyperlink r:id="rId8" w:history="1">
        <w:r w:rsidRPr="00CA267A">
          <w:rPr>
            <w:rFonts w:asciiTheme="majorBidi" w:eastAsia="Times New Roman" w:hAnsiTheme="majorBidi" w:cstheme="majorBidi"/>
            <w:sz w:val="24"/>
            <w:szCs w:val="24"/>
            <w:u w:val="single"/>
          </w:rPr>
          <w:t>https</w:t>
        </w:r>
        <w:proofErr w:type="spellEnd"/>
        <w:r w:rsidRPr="00CA267A">
          <w:rPr>
            <w:rFonts w:asciiTheme="majorBidi" w:eastAsia="Times New Roman" w:hAnsiTheme="majorBidi" w:cstheme="majorBidi"/>
            <w:sz w:val="24"/>
            <w:szCs w:val="24"/>
            <w:u w:val="single"/>
          </w:rPr>
          <w:t>://doi.org/10.20408/jti.2018.034</w:t>
        </w:r>
      </w:hyperlink>
    </w:p>
    <w:p w:rsidR="00CA267A" w:rsidRPr="00CA267A" w:rsidRDefault="00CA267A" w:rsidP="00CA267A">
      <w:pPr>
        <w:spacing w:after="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 xml:space="preserve">7.Cannon, C. M., Braxton, C. C., Kling-Smith, M., </w:t>
      </w:r>
      <w:proofErr w:type="spellStart"/>
      <w:r w:rsidRPr="00CA267A">
        <w:rPr>
          <w:rFonts w:asciiTheme="majorBidi" w:eastAsia="Times New Roman" w:hAnsiTheme="majorBidi" w:cstheme="majorBidi"/>
          <w:sz w:val="24"/>
          <w:szCs w:val="24"/>
        </w:rPr>
        <w:t>Mahnken</w:t>
      </w:r>
      <w:proofErr w:type="spellEnd"/>
      <w:r w:rsidRPr="00CA267A">
        <w:rPr>
          <w:rFonts w:asciiTheme="majorBidi" w:eastAsia="Times New Roman" w:hAnsiTheme="majorBidi" w:cstheme="majorBidi"/>
          <w:sz w:val="24"/>
          <w:szCs w:val="24"/>
        </w:rPr>
        <w:t xml:space="preserve">, J. D., Carlton, E., &amp; </w:t>
      </w:r>
      <w:proofErr w:type="spellStart"/>
      <w:r w:rsidRPr="00CA267A">
        <w:rPr>
          <w:rFonts w:asciiTheme="majorBidi" w:eastAsia="Times New Roman" w:hAnsiTheme="majorBidi" w:cstheme="majorBidi"/>
          <w:sz w:val="24"/>
          <w:szCs w:val="24"/>
        </w:rPr>
        <w:t>Moncure</w:t>
      </w:r>
      <w:proofErr w:type="spellEnd"/>
      <w:r w:rsidRPr="00CA267A">
        <w:rPr>
          <w:rFonts w:asciiTheme="majorBidi" w:eastAsia="Times New Roman" w:hAnsiTheme="majorBidi" w:cstheme="majorBidi"/>
          <w:sz w:val="24"/>
          <w:szCs w:val="24"/>
        </w:rPr>
        <w:t>, M. (2009). Utility of the shock index in predicting mortality in traumatically injured patients. Journal of Trauma and Acute Care Surgery, 67(6), 1426-1430.</w:t>
      </w:r>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w:t>
      </w:r>
      <w:proofErr w:type="gramStart"/>
      <w:r w:rsidRPr="00CA267A">
        <w:rPr>
          <w:rFonts w:asciiTheme="majorBidi" w:eastAsia="Times New Roman" w:hAnsiTheme="majorBidi" w:cstheme="majorBidi"/>
          <w:sz w:val="24"/>
          <w:szCs w:val="24"/>
        </w:rPr>
        <w:t>8.Bruijns</w:t>
      </w:r>
      <w:proofErr w:type="gramEnd"/>
      <w:r w:rsidRPr="00CA267A">
        <w:rPr>
          <w:rFonts w:asciiTheme="majorBidi" w:eastAsia="Times New Roman" w:hAnsiTheme="majorBidi" w:cstheme="majorBidi"/>
          <w:sz w:val="24"/>
          <w:szCs w:val="24"/>
        </w:rPr>
        <w:t xml:space="preserve">, </w:t>
      </w:r>
      <w:proofErr w:type="spellStart"/>
      <w:r w:rsidRPr="00CA267A">
        <w:rPr>
          <w:rFonts w:asciiTheme="majorBidi" w:eastAsia="Times New Roman" w:hAnsiTheme="majorBidi" w:cstheme="majorBidi"/>
          <w:sz w:val="24"/>
          <w:szCs w:val="24"/>
        </w:rPr>
        <w:t>Stevan</w:t>
      </w:r>
      <w:proofErr w:type="spellEnd"/>
      <w:r w:rsidRPr="00CA267A">
        <w:rPr>
          <w:rFonts w:asciiTheme="majorBidi" w:eastAsia="Times New Roman" w:hAnsiTheme="majorBidi" w:cstheme="majorBidi"/>
          <w:sz w:val="24"/>
          <w:szCs w:val="24"/>
        </w:rPr>
        <w:t xml:space="preserve"> R. FCEM; </w:t>
      </w:r>
      <w:proofErr w:type="spellStart"/>
      <w:r w:rsidRPr="00CA267A">
        <w:rPr>
          <w:rFonts w:asciiTheme="majorBidi" w:eastAsia="Times New Roman" w:hAnsiTheme="majorBidi" w:cstheme="majorBidi"/>
          <w:sz w:val="24"/>
          <w:szCs w:val="24"/>
        </w:rPr>
        <w:t>Guly</w:t>
      </w:r>
      <w:proofErr w:type="spellEnd"/>
      <w:r w:rsidRPr="00CA267A">
        <w:rPr>
          <w:rFonts w:asciiTheme="majorBidi" w:eastAsia="Times New Roman" w:hAnsiTheme="majorBidi" w:cstheme="majorBidi"/>
          <w:sz w:val="24"/>
          <w:szCs w:val="24"/>
        </w:rPr>
        <w:t xml:space="preserve">, Henry R. FCEM; </w:t>
      </w:r>
      <w:proofErr w:type="spellStart"/>
      <w:r w:rsidRPr="00CA267A">
        <w:rPr>
          <w:rFonts w:asciiTheme="majorBidi" w:eastAsia="Times New Roman" w:hAnsiTheme="majorBidi" w:cstheme="majorBidi"/>
          <w:sz w:val="24"/>
          <w:szCs w:val="24"/>
        </w:rPr>
        <w:t>Bouamra</w:t>
      </w:r>
      <w:proofErr w:type="spellEnd"/>
      <w:r w:rsidRPr="00CA267A">
        <w:rPr>
          <w:rFonts w:asciiTheme="majorBidi" w:eastAsia="Times New Roman" w:hAnsiTheme="majorBidi" w:cstheme="majorBidi"/>
          <w:sz w:val="24"/>
          <w:szCs w:val="24"/>
        </w:rPr>
        <w:t>, Omar PhD; Lecky, Fiona PhD; Lee, Wallis A. MD. The value of traditional vital signs, shock index, and age-based markers in predicting trauma mortality. Journal of Trauma and Acute Care Surgery 74(6</w:t>
      </w:r>
      <w:proofErr w:type="gramStart"/>
      <w:r w:rsidRPr="00CA267A">
        <w:rPr>
          <w:rFonts w:asciiTheme="majorBidi" w:eastAsia="Times New Roman" w:hAnsiTheme="majorBidi" w:cstheme="majorBidi"/>
          <w:sz w:val="24"/>
          <w:szCs w:val="24"/>
        </w:rPr>
        <w:t>):p</w:t>
      </w:r>
      <w:proofErr w:type="gramEnd"/>
      <w:r w:rsidRPr="00CA267A">
        <w:rPr>
          <w:rFonts w:asciiTheme="majorBidi" w:eastAsia="Times New Roman" w:hAnsiTheme="majorBidi" w:cstheme="majorBidi"/>
          <w:sz w:val="24"/>
          <w:szCs w:val="24"/>
        </w:rPr>
        <w:t xml:space="preserve"> 1432-1437, June 2013. | DOI: 10.1097/TA.0b013e31829246c7</w:t>
      </w:r>
    </w:p>
    <w:p w:rsidR="00CA267A" w:rsidRPr="00CA267A" w:rsidRDefault="00CA267A" w:rsidP="00CA267A">
      <w:pPr>
        <w:spacing w:before="240" w:after="240" w:line="360" w:lineRule="auto"/>
        <w:jc w:val="both"/>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lastRenderedPageBreak/>
        <w:t>‌</w:t>
      </w:r>
    </w:p>
    <w:p w:rsidR="00CA267A" w:rsidRPr="00CA267A" w:rsidRDefault="00CA267A" w:rsidP="00CA267A">
      <w:pPr>
        <w:spacing w:after="0" w:line="360" w:lineRule="auto"/>
        <w:rPr>
          <w:rFonts w:asciiTheme="majorBidi" w:eastAsia="Times New Roman" w:hAnsiTheme="majorBidi" w:cstheme="majorBidi"/>
          <w:sz w:val="24"/>
          <w:szCs w:val="24"/>
        </w:rPr>
      </w:pPr>
    </w:p>
    <w:p w:rsidR="00CA267A" w:rsidRPr="00CA267A" w:rsidRDefault="00CA267A" w:rsidP="00CA267A">
      <w:pPr>
        <w:spacing w:before="240" w:after="240" w:line="360" w:lineRule="auto"/>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w:t>
      </w:r>
    </w:p>
    <w:p w:rsidR="00CA267A" w:rsidRPr="00CA267A" w:rsidRDefault="00CA267A" w:rsidP="00CA267A">
      <w:pPr>
        <w:spacing w:after="0" w:line="360" w:lineRule="auto"/>
        <w:rPr>
          <w:rFonts w:asciiTheme="majorBidi" w:eastAsia="Times New Roman" w:hAnsiTheme="majorBidi" w:cstheme="majorBidi"/>
          <w:sz w:val="24"/>
          <w:szCs w:val="24"/>
        </w:rPr>
      </w:pPr>
    </w:p>
    <w:p w:rsidR="00CA267A" w:rsidRPr="00CA267A" w:rsidRDefault="00CA267A" w:rsidP="00CA267A">
      <w:pPr>
        <w:spacing w:before="240" w:after="240" w:line="360" w:lineRule="auto"/>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w:t>
      </w:r>
    </w:p>
    <w:p w:rsidR="00CA267A" w:rsidRPr="00CA267A" w:rsidRDefault="00CA267A" w:rsidP="00CA267A">
      <w:pPr>
        <w:spacing w:after="240" w:line="360" w:lineRule="auto"/>
        <w:rPr>
          <w:rFonts w:asciiTheme="majorBidi" w:eastAsia="Times New Roman" w:hAnsiTheme="majorBidi" w:cstheme="majorBidi"/>
          <w:sz w:val="24"/>
          <w:szCs w:val="24"/>
        </w:rPr>
      </w:pPr>
    </w:p>
    <w:p w:rsidR="00CA267A" w:rsidRPr="00CA267A" w:rsidRDefault="00CA267A" w:rsidP="00CA267A">
      <w:pPr>
        <w:spacing w:before="240" w:after="240" w:line="360" w:lineRule="auto"/>
        <w:rPr>
          <w:rFonts w:asciiTheme="majorBidi" w:eastAsia="Times New Roman" w:hAnsiTheme="majorBidi" w:cstheme="majorBidi"/>
          <w:sz w:val="24"/>
          <w:szCs w:val="24"/>
        </w:rPr>
      </w:pPr>
      <w:r w:rsidRPr="00CA267A">
        <w:rPr>
          <w:rFonts w:asciiTheme="majorBidi" w:eastAsia="Times New Roman" w:hAnsiTheme="majorBidi" w:cstheme="majorBidi"/>
          <w:sz w:val="24"/>
          <w:szCs w:val="24"/>
        </w:rPr>
        <w:t>‌</w:t>
      </w:r>
    </w:p>
    <w:p w:rsidR="00282F10" w:rsidRPr="00CA267A" w:rsidRDefault="00CA267A" w:rsidP="00CA267A">
      <w:pPr>
        <w:spacing w:line="360" w:lineRule="auto"/>
        <w:rPr>
          <w:rFonts w:asciiTheme="majorBidi" w:hAnsiTheme="majorBidi" w:cstheme="majorBidi"/>
          <w:sz w:val="24"/>
          <w:szCs w:val="24"/>
        </w:rPr>
      </w:pP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r w:rsidRPr="00CA267A">
        <w:rPr>
          <w:rFonts w:asciiTheme="majorBidi" w:eastAsia="Times New Roman" w:hAnsiTheme="majorBidi" w:cstheme="majorBidi"/>
          <w:sz w:val="24"/>
          <w:szCs w:val="24"/>
        </w:rPr>
        <w:br/>
      </w:r>
    </w:p>
    <w:sectPr w:rsidR="00282F10" w:rsidRPr="00CA2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5C8"/>
    <w:rsid w:val="00282F10"/>
    <w:rsid w:val="006D697B"/>
    <w:rsid w:val="009F15C8"/>
    <w:rsid w:val="00CA267A"/>
    <w:rsid w:val="00DE12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CAC0"/>
  <w15:chartTrackingRefBased/>
  <w15:docId w15:val="{97914F2D-3497-4EA3-9AC7-70FC79A3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15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26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127012">
      <w:bodyDiv w:val="1"/>
      <w:marLeft w:val="0"/>
      <w:marRight w:val="0"/>
      <w:marTop w:val="0"/>
      <w:marBottom w:val="0"/>
      <w:divBdr>
        <w:top w:val="none" w:sz="0" w:space="0" w:color="auto"/>
        <w:left w:val="none" w:sz="0" w:space="0" w:color="auto"/>
        <w:bottom w:val="none" w:sz="0" w:space="0" w:color="auto"/>
        <w:right w:val="none" w:sz="0" w:space="0" w:color="auto"/>
      </w:divBdr>
    </w:div>
    <w:div w:id="214225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0408/jti.2018.034" TargetMode="External"/><Relationship Id="rId3" Type="http://schemas.openxmlformats.org/officeDocument/2006/relationships/webSettings" Target="webSettings.xml"/><Relationship Id="rId7" Type="http://schemas.openxmlformats.org/officeDocument/2006/relationships/hyperlink" Target="https://doi.org/10.1016/j.jss.2022.10.06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36/emermed-2015-205532" TargetMode="External"/><Relationship Id="rId5" Type="http://schemas.openxmlformats.org/officeDocument/2006/relationships/hyperlink" Target="https://doi.org/10.1016/j.afjem.2023.01.002" TargetMode="External"/><Relationship Id="rId10" Type="http://schemas.openxmlformats.org/officeDocument/2006/relationships/theme" Target="theme/theme1.xml"/><Relationship Id="rId4" Type="http://schemas.openxmlformats.org/officeDocument/2006/relationships/hyperlink" Target="mailto:thmenna.ahmed.2001@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منة الله احمد مجد الدين عبد الله</dc:creator>
  <cp:keywords/>
  <dc:description/>
  <cp:lastModifiedBy>منة الله احمد مجد الدين عبد الله</cp:lastModifiedBy>
  <cp:revision>3</cp:revision>
  <dcterms:created xsi:type="dcterms:W3CDTF">2026-03-24T17:20:00Z</dcterms:created>
  <dcterms:modified xsi:type="dcterms:W3CDTF">2026-03-24T17:21:00Z</dcterms:modified>
</cp:coreProperties>
</file>