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rwl8m7va0g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Shock Index, Lactate, and Mortality</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qqwwntu7bhfm" w:id="1"/>
      <w:bookmarkEnd w:id="1"/>
      <w:r w:rsidDel="00000000" w:rsidR="00000000" w:rsidRPr="00000000">
        <w:rPr>
          <w:b w:val="1"/>
          <w:bCs w:val="1"/>
          <w:color w:val="1f1f1f"/>
          <w:sz w:val="46"/>
          <w:szCs w:val="46"/>
          <w:rtl w:val="0"/>
        </w:rPr>
        <w:t xml:space="preserve">Synergistic Predictive Value of Shock Index and Serum Lactate in Polytrauma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uod7n6mnu8t" w:id="2"/>
      <w:bookmarkEnd w:id="2"/>
      <w:r w:rsidDel="00000000" w:rsidR="00000000" w:rsidRPr="00000000">
        <w:rPr>
          <w:b w:val="1"/>
          <w:bCs w:val="1"/>
          <w:color w:val="1f1f1f"/>
          <w:sz w:val="26"/>
          <w:szCs w:val="26"/>
          <w:rtl w:val="0"/>
        </w:rPr>
        <w:t xml:space="preserve">Title and Abstract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Title:</w:t>
      </w:r>
      <w:r w:rsidDel="00000000" w:rsidR="00000000" w:rsidRPr="00000000">
        <w:rPr>
          <w:color w:val="1f1f1f"/>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  Synergistic Predictive Value of Initial Shock Index, Age-Adjusted Shock Index, and 2-Hour Lactate Clearance for Mortality in Polytrauma: A Prospective Observational Cohort Study.</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Abstract:</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  Early identification of </w:t>
      </w:r>
      <w:r w:rsidDel="00000000" w:rsidR="00000000" w:rsidRPr="00000000">
        <w:rPr>
          <w:b w:val="1"/>
          <w:bCs w:val="1"/>
          <w:color w:val="1f1f1f"/>
          <w:rtl w:val="0"/>
        </w:rPr>
        <w:t xml:space="preserve">occult shock</w:t>
      </w:r>
      <w:r w:rsidDel="00000000" w:rsidR="00000000" w:rsidRPr="00000000">
        <w:rPr>
          <w:color w:val="1f1f1f"/>
          <w:rtl w:val="0"/>
        </w:rPr>
        <w:t xml:space="preserve">—defined as hemodynamic instability despite "normal" blood pressure—is a clinical imperative in polytrauma management. This prospective cohort study evaluates the predictive accuracy of the </w:t>
      </w:r>
      <w:r w:rsidDel="00000000" w:rsidR="00000000" w:rsidRPr="00000000">
        <w:rPr>
          <w:b w:val="1"/>
          <w:bCs w:val="1"/>
          <w:color w:val="1f1f1f"/>
          <w:rtl w:val="0"/>
        </w:rPr>
        <w:t xml:space="preserve">Shock Index (SI)</w:t>
      </w:r>
      <w:r w:rsidDel="00000000" w:rsidR="00000000" w:rsidRPr="00000000">
        <w:rPr>
          <w:color w:val="1f1f1f"/>
          <w:rtl w:val="0"/>
        </w:rPr>
        <w:t xml:space="preserve"> and </w:t>
      </w:r>
      <w:r w:rsidDel="00000000" w:rsidR="00000000" w:rsidRPr="00000000">
        <w:rPr>
          <w:b w:val="1"/>
          <w:bCs w:val="1"/>
          <w:color w:val="1f1f1f"/>
          <w:rtl w:val="0"/>
        </w:rPr>
        <w:t xml:space="preserve">Initial Serum Lactate</w:t>
      </w:r>
      <w:r w:rsidDel="00000000" w:rsidR="00000000" w:rsidRPr="00000000">
        <w:rPr>
          <w:color w:val="1f1f1f"/>
          <w:rtl w:val="0"/>
        </w:rPr>
        <w:t xml:space="preserve"> against </w:t>
      </w:r>
      <w:r w:rsidDel="00000000" w:rsidR="00000000" w:rsidRPr="00000000">
        <w:rPr>
          <w:b w:val="1"/>
          <w:bCs w:val="1"/>
          <w:color w:val="1f1f1f"/>
          <w:rtl w:val="0"/>
        </w:rPr>
        <w:t xml:space="preserve">In-hospital Mortality</w:t>
      </w:r>
      <w:r w:rsidDel="00000000" w:rsidR="00000000" w:rsidRPr="00000000">
        <w:rPr>
          <w:color w:val="1f1f1f"/>
          <w:rtl w:val="0"/>
        </w:rPr>
        <w:t xml:space="preserve">. By targeting a sample of 385 patients, the study will determine if the interaction between SI and </w:t>
      </w:r>
      <w:r w:rsidDel="00000000" w:rsidR="00000000" w:rsidRPr="00000000">
        <w:rPr>
          <w:b w:val="1"/>
          <w:bCs w:val="1"/>
          <w:color w:val="1f1f1f"/>
          <w:rtl w:val="0"/>
        </w:rPr>
        <w:t xml:space="preserve">Lactate Clearance</w:t>
      </w:r>
      <w:r w:rsidDel="00000000" w:rsidR="00000000" w:rsidRPr="00000000">
        <w:rPr>
          <w:color w:val="1f1f1f"/>
          <w:rtl w:val="0"/>
        </w:rPr>
        <w:t xml:space="preserve"> provides superior risk stratification compared to traditional vital signs. Data collection follows CDASH standards to ensure high-fidelity analysis of early mortality predictors.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0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1f1f1f"/>
          <w:sz w:val="26"/>
          <w:szCs w:val="26"/>
        </w:rPr>
      </w:pPr>
      <w:bookmarkStart w:colFirst="0" w:colLast="0" w:name="_y4b5kchbsfpi" w:id="3"/>
      <w:bookmarkEnd w:id="3"/>
      <w:r w:rsidDel="00000000" w:rsidR="00000000" w:rsidRPr="00000000">
        <w:rPr>
          <w:b w:val="1"/>
          <w:bCs w:val="1"/>
          <w:color w:val="1f1f1f"/>
          <w:sz w:val="26"/>
          <w:szCs w:val="26"/>
          <w:rtl w:val="0"/>
        </w:rPr>
        <w:t xml:space="preserve"> Introduction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before="240" w:lineRule="auto"/>
        <w:rPr>
          <w:color w:val="1f1f1f"/>
        </w:rPr>
      </w:pPr>
      <w:r w:rsidDel="00000000" w:rsidR="00000000" w:rsidRPr="00000000">
        <w:rPr>
          <w:color w:val="1f1f1f"/>
          <w:rtl w:val="0"/>
        </w:rPr>
        <w:t xml:space="preserve">Traditional triage in polytrauma relies heavily on vital signs such as Heart Rate (HR) and Systolic Blood Pressure (SBP). However, many patients present with “compensated” or occult shock, maintaining a normal SBP despite significant tissue hypoperfusion. This delayed recognition often contributes to the development of the “lethal triad” of acidosis, coagulopathy, and hypothermia.</w:t>
      </w:r>
      <w:r w:rsidDel="00000000" w:rsidR="00000000" w:rsidRPr="00000000">
        <w:rPr>
          <w:b w:val="1"/>
          <w:bCs w:val="1"/>
          <w:color w:val="1f1f1f"/>
          <w:rtl w:val="0"/>
        </w:rPr>
        <w:t xml:space="preserve"> Occult shock</w:t>
      </w:r>
      <w:r w:rsidDel="00000000" w:rsidR="00000000" w:rsidRPr="00000000">
        <w:rPr>
          <w:color w:val="1f1f1f"/>
          <w:rtl w:val="0"/>
        </w:rPr>
        <w:t xml:space="preserve"> can remain hidden even when traditional vital signs appear stable [4]. According to Altunbaş et al. [3], 2-hour lactate levels are significantly lower in survivors than in non-survivors.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40" w:before="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Shock Index (SI)</w:t>
      </w:r>
      <w:r w:rsidDel="00000000" w:rsidR="00000000" w:rsidRPr="00000000">
        <w:rPr>
          <w:color w:val="1f1f1f"/>
          <w:rtl w:val="0"/>
        </w:rPr>
        <w:t xml:space="preserve">, defined as [ SI = HR / SBP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40" w:before="240" w:lineRule="auto"/>
        <w:rPr>
          <w:color w:val="1f1f1f"/>
        </w:rPr>
      </w:pPr>
      <w:r w:rsidDel="00000000" w:rsidR="00000000" w:rsidRPr="00000000">
        <w:rPr>
          <w:color w:val="1f1f1f"/>
          <w:rtl w:val="0"/>
        </w:rPr>
        <w:t xml:space="preserve">has emerged as a superior predictor of transfusion requirements and mortality compared to its individual components [1]. Nevertheless, SI may be “blunted” in geriatric patients due to reduced physiological reserve or the use of medications such as beta-blockers. To address this limitation, the </w:t>
      </w:r>
      <w:r w:rsidDel="00000000" w:rsidR="00000000" w:rsidRPr="00000000">
        <w:rPr>
          <w:b w:val="1"/>
          <w:bCs w:val="1"/>
          <w:color w:val="1f1f1f"/>
          <w:rtl w:val="0"/>
        </w:rPr>
        <w:t xml:space="preserve">Age-Adjusted Shock Index (Age-SI)</w:t>
      </w:r>
      <w:r w:rsidDel="00000000" w:rsidR="00000000" w:rsidRPr="00000000">
        <w:rPr>
          <w:color w:val="1f1f1f"/>
          <w:rtl w:val="0"/>
        </w:rPr>
        <w:t xml:space="preserve"> incorporates age to enhance risk stratification [2].</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before="240" w:lineRule="auto"/>
        <w:rPr>
          <w:color w:val="1f1f1f"/>
        </w:rPr>
      </w:pPr>
      <w:r w:rsidDel="00000000" w:rsidR="00000000" w:rsidRPr="00000000">
        <w:rPr>
          <w:color w:val="1f1f1f"/>
          <w:rtl w:val="0"/>
        </w:rPr>
        <w:t xml:space="preserve">In parallel, </w:t>
      </w:r>
      <w:r w:rsidDel="00000000" w:rsidR="00000000" w:rsidRPr="00000000">
        <w:rPr>
          <w:b w:val="1"/>
          <w:bCs w:val="1"/>
          <w:color w:val="1f1f1f"/>
          <w:rtl w:val="0"/>
        </w:rPr>
        <w:t xml:space="preserve">Serum Lactate</w:t>
      </w:r>
      <w:r w:rsidDel="00000000" w:rsidR="00000000" w:rsidRPr="00000000">
        <w:rPr>
          <w:color w:val="1f1f1f"/>
          <w:rtl w:val="0"/>
        </w:rPr>
        <w:t xml:space="preserve"> serves as a metabolic “gold standard” for identifying anaerobic metabolism </w:t>
      </w:r>
      <w:r w:rsidDel="00000000" w:rsidR="00000000" w:rsidRPr="00000000">
        <w:rPr>
          <w:b w:val="1"/>
          <w:bCs w:val="1"/>
          <w:color w:val="1f1f1f"/>
          <w:rtl w:val="0"/>
        </w:rPr>
        <w:t xml:space="preserve">[3]</w:t>
      </w:r>
      <w:r w:rsidDel="00000000" w:rsidR="00000000" w:rsidRPr="00000000">
        <w:rPr>
          <w:color w:val="1f1f1f"/>
          <w:rtl w:val="0"/>
        </w:rPr>
        <w:t xml:space="preserve">. While a single lactate measurement reflects current physiological distress, </w:t>
      </w:r>
      <w:r w:rsidDel="00000000" w:rsidR="00000000" w:rsidRPr="00000000">
        <w:rPr>
          <w:b w:val="1"/>
          <w:bCs w:val="1"/>
          <w:color w:val="1f1f1f"/>
          <w:rtl w:val="0"/>
        </w:rPr>
        <w:t xml:space="preserve">Lactate Clearance</w:t>
      </w:r>
      <w:r w:rsidDel="00000000" w:rsidR="00000000" w:rsidRPr="00000000">
        <w:rPr>
          <w:color w:val="1f1f1f"/>
          <w:rtl w:val="0"/>
        </w:rPr>
        <w:t xml:space="preserve">—the rate of decline over two hours—provides a dynamic measure of resuscitation adequacy </w:t>
      </w:r>
      <w:r w:rsidDel="00000000" w:rsidR="00000000" w:rsidRPr="00000000">
        <w:rPr>
          <w:rtl w:val="0"/>
        </w:rPr>
        <w:t xml:space="preserve">[4]</w:t>
      </w:r>
      <w:r w:rsidDel="00000000" w:rsidR="00000000" w:rsidRPr="00000000">
        <w:rPr>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40" w:before="240" w:lineRule="auto"/>
        <w:rPr>
          <w:color w:val="1f1f1f"/>
        </w:rPr>
      </w:pPr>
      <w:r w:rsidDel="00000000" w:rsidR="00000000" w:rsidRPr="00000000">
        <w:rPr>
          <w:color w:val="1f1f1f"/>
          <w:rtl w:val="0"/>
        </w:rPr>
        <w:t xml:space="preserve">While the Shock Index (SI) is a known predictor of mortality in younger adults [1], its reliability in geriatric populations is often limited, leading to the development of the Age-Adjusted Shock Index (Age-SI) [2].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before="240" w:lineRule="auto"/>
        <w:rPr>
          <w:color w:val="1f1f1f"/>
        </w:rPr>
      </w:pPr>
      <w:r w:rsidDel="00000000" w:rsidR="00000000" w:rsidRPr="00000000">
        <w:rPr>
          <w:color w:val="1f1f1f"/>
          <w:rtl w:val="0"/>
        </w:rPr>
        <w:t xml:space="preserve">Currently, there is a lack of prospective data examining whether the mathematical interaction between these hemodynamic (SI) and metabolic (Lactate) markers offers synergistic predictive value that surpasses their individual performance [5].</w:t>
      </w:r>
    </w:p>
    <w:p w:rsidR="00000000" w:rsidDel="00000000" w:rsidP="00000000" w:rsidRDefault="00000000" w:rsidRPr="00000000" w14:paraId="00000013">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1f1f1f"/>
          <w:sz w:val="26"/>
          <w:szCs w:val="26"/>
        </w:rPr>
      </w:pPr>
      <w:bookmarkStart w:colFirst="0" w:colLast="0" w:name="_wqrxdsfvevx2" w:id="4"/>
      <w:bookmarkEnd w:id="4"/>
      <w:r w:rsidDel="00000000" w:rsidR="00000000" w:rsidRPr="00000000">
        <w:rPr>
          <w:b w:val="1"/>
          <w:bCs w:val="1"/>
          <w:color w:val="1f1f1f"/>
          <w:sz w:val="26"/>
          <w:szCs w:val="26"/>
          <w:rtl w:val="0"/>
        </w:rPr>
        <w:t xml:space="preserve">Aim </w:t>
      </w:r>
    </w:p>
    <w:p w:rsidR="00000000" w:rsidDel="00000000" w:rsidP="00000000" w:rsidRDefault="00000000" w:rsidRPr="00000000" w14:paraId="00000014">
      <w:pPr>
        <w:pStyle w:val="Heading3"/>
        <w:keepNext w:val="0"/>
        <w:keepLines w:val="0"/>
        <w:pBdr>
          <w:top w:space="0" w:sz="0" w:val="nil"/>
          <w:left w:space="0" w:sz="0" w:val="nil"/>
          <w:bottom w:space="0" w:sz="0" w:val="nil"/>
          <w:right w:space="0" w:sz="0" w:val="nil"/>
          <w:between w:space="0" w:sz="0" w:val="nil"/>
        </w:pBdr>
        <w:spacing w:before="280" w:lineRule="auto"/>
        <w:rPr>
          <w:color w:val="1f1f1f"/>
        </w:rPr>
      </w:pPr>
      <w:bookmarkStart w:colFirst="0" w:colLast="0" w:name="_xe89p2g01sw4" w:id="5"/>
      <w:bookmarkEnd w:id="5"/>
      <w:r w:rsidDel="00000000" w:rsidR="00000000" w:rsidRPr="00000000">
        <w:rPr>
          <w:b w:val="1"/>
          <w:bCs w:val="1"/>
          <w:color w:val="1f1f1f"/>
          <w:rtl w:val="0"/>
        </w:rPr>
        <w:t xml:space="preserve">The primary aim of this study</w:t>
      </w:r>
      <w:r w:rsidDel="00000000" w:rsidR="00000000" w:rsidRPr="00000000">
        <w:rPr>
          <w:color w:val="1f1f1f"/>
          <w:rtl w:val="0"/>
        </w:rPr>
        <w:t xml:space="preserve"> is to evaluate the combined predictive accuracy of the initial Shock Index, Age-Adjusted Shock Index, and 2-hour Lactate Clearance in forecasting in-hospital mortality among adult polytrauma patients.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40" w:before="240" w:lineRule="auto"/>
        <w:rPr>
          <w:b w:val="1"/>
          <w:bCs w:val="1"/>
          <w:color w:val="1f1f1f"/>
        </w:rPr>
      </w:pPr>
      <w:r w:rsidDel="00000000" w:rsidR="00000000" w:rsidRPr="00000000">
        <w:rPr>
          <w:b w:val="1"/>
          <w:bCs w:val="1"/>
          <w:color w:val="1f1f1f"/>
          <w:rtl w:val="0"/>
        </w:rPr>
        <w:t xml:space="preserve">Secondary objectives include:</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pacing w:after="0" w:afterAutospacing="0" w:before="240" w:lineRule="auto"/>
        <w:ind w:left="720" w:hanging="360"/>
        <w:rPr>
          <w:color w:val="1f1f1f"/>
        </w:rPr>
      </w:pPr>
      <w:r w:rsidDel="00000000" w:rsidR="00000000" w:rsidRPr="00000000">
        <w:rPr>
          <w:color w:val="1f1f1f"/>
          <w:rtl w:val="0"/>
        </w:rPr>
        <w:t xml:space="preserve">Comparing the Area Under the Curve (AUC) of SI versus Age-SI for mortality prediction.</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pacing w:after="0" w:afterAutospacing="0" w:before="0" w:beforeAutospacing="0" w:lineRule="auto"/>
        <w:ind w:left="720" w:hanging="360"/>
        <w:rPr>
          <w:color w:val="1f1f1f"/>
        </w:rPr>
      </w:pPr>
      <w:r w:rsidDel="00000000" w:rsidR="00000000" w:rsidRPr="00000000">
        <w:rPr>
          <w:color w:val="1f1f1f"/>
          <w:rtl w:val="0"/>
        </w:rPr>
        <w:t xml:space="preserve">Determining optimal cut-off values for SI and Lactate in the local Egyptian population at Al Demerdash Hospital.</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pacing w:after="240" w:before="0" w:beforeAutospacing="0" w:lineRule="auto"/>
        <w:ind w:left="720" w:hanging="360"/>
        <w:rPr>
          <w:color w:val="1f1f1f"/>
        </w:rPr>
      </w:pPr>
      <w:r w:rsidDel="00000000" w:rsidR="00000000" w:rsidRPr="00000000">
        <w:rPr>
          <w:color w:val="1f1f1f"/>
          <w:rtl w:val="0"/>
        </w:rPr>
        <w:t xml:space="preserve">Assessing the impact of chronic beta-blocker use on the reliability of these indices.</w:t>
      </w:r>
    </w:p>
    <w:p w:rsidR="00000000" w:rsidDel="00000000" w:rsidP="00000000" w:rsidRDefault="00000000" w:rsidRPr="00000000" w14:paraId="00000019">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1f1f1f"/>
          <w:sz w:val="26"/>
          <w:szCs w:val="26"/>
        </w:rPr>
      </w:pPr>
      <w:bookmarkStart w:colFirst="0" w:colLast="0" w:name="_xvzepjo0a6ec" w:id="6"/>
      <w:bookmarkEnd w:id="6"/>
      <w:r w:rsidDel="00000000" w:rsidR="00000000" w:rsidRPr="00000000">
        <w:rPr>
          <w:rtl w:val="0"/>
        </w:rPr>
      </w:r>
    </w:p>
    <w:p w:rsidR="00000000" w:rsidDel="00000000" w:rsidP="00000000" w:rsidRDefault="00000000" w:rsidRPr="00000000" w14:paraId="0000001A">
      <w:pPr>
        <w:pStyle w:val="Heading3"/>
        <w:keepNext w:val="0"/>
        <w:keepLines w:val="0"/>
        <w:pBdr>
          <w:top w:space="0" w:sz="0" w:val="nil"/>
          <w:left w:space="0" w:sz="0" w:val="nil"/>
          <w:bottom w:space="0" w:sz="0" w:val="nil"/>
          <w:right w:space="0" w:sz="0" w:val="nil"/>
          <w:between w:space="0" w:sz="0" w:val="nil"/>
        </w:pBdr>
        <w:spacing w:before="280" w:lineRule="auto"/>
        <w:rPr>
          <w:b w:val="1"/>
          <w:bCs w:val="1"/>
          <w:color w:val="1f1f1f"/>
          <w:sz w:val="26"/>
          <w:szCs w:val="26"/>
        </w:rPr>
      </w:pPr>
      <w:bookmarkStart w:colFirst="0" w:colLast="0" w:name="_y8u0bzppk70r" w:id="7"/>
      <w:bookmarkEnd w:id="7"/>
      <w:r w:rsidDel="00000000" w:rsidR="00000000" w:rsidRPr="00000000">
        <w:rPr>
          <w:b w:val="1"/>
          <w:bCs w:val="1"/>
          <w:color w:val="1f1f1f"/>
          <w:sz w:val="26"/>
          <w:szCs w:val="26"/>
          <w:rtl w:val="0"/>
        </w:rPr>
        <w:t xml:space="preserve">Hypothesis</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pacing w:after="0" w:afterAutospacing="0" w:before="240" w:lineRule="auto"/>
        <w:ind w:left="720" w:hanging="360"/>
        <w:rPr>
          <w:color w:val="1f1f1f"/>
        </w:rPr>
      </w:pPr>
      <w:r w:rsidDel="00000000" w:rsidR="00000000" w:rsidRPr="00000000">
        <w:rPr>
          <w:b w:val="1"/>
          <w:bCs w:val="1"/>
          <w:color w:val="1f1f1f"/>
          <w:rtl w:val="0"/>
        </w:rPr>
        <w:t xml:space="preserve">Primary Hypothesis (H₁):</w:t>
      </w:r>
      <w:r w:rsidDel="00000000" w:rsidR="00000000" w:rsidRPr="00000000">
        <w:rPr>
          <w:color w:val="1f1f1f"/>
          <w:rtl w:val="0"/>
        </w:rPr>
        <w:t xml:space="preserve"> The combination of an elevated Age-Adjusted Shock Index and a Lactate Clearance of &lt;10% within the first 2 hours may demonstrates significantly higher sensitivity and specificity for predicting mortality than any single parameter used in isolation.</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pacing w:after="240" w:before="0" w:beforeAutospacing="0" w:lineRule="auto"/>
        <w:ind w:left="720" w:hanging="360"/>
        <w:rPr>
          <w:color w:val="1f1f1f"/>
        </w:rPr>
      </w:pPr>
      <w:r w:rsidDel="00000000" w:rsidR="00000000" w:rsidRPr="00000000">
        <w:rPr>
          <w:b w:val="1"/>
          <w:bCs w:val="1"/>
          <w:color w:val="1f1f1f"/>
          <w:rtl w:val="0"/>
        </w:rPr>
        <w:t xml:space="preserve">Secondary Hypothesis (H₂):</w:t>
      </w:r>
      <w:r w:rsidDel="00000000" w:rsidR="00000000" w:rsidRPr="00000000">
        <w:rPr>
          <w:color w:val="1f1f1f"/>
          <w:rtl w:val="0"/>
        </w:rPr>
        <w:t xml:space="preserve"> Age-SI may exhibits superior predictive power compared to the standard SI in patients over 60 years of age.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lk3qyvhl7mgp" w:id="8"/>
      <w:bookmarkEnd w:id="8"/>
      <w:r w:rsidDel="00000000" w:rsidR="00000000" w:rsidRPr="00000000">
        <w:rPr>
          <w:b w:val="1"/>
          <w:bCs w:val="1"/>
          <w:color w:val="1f1f1f"/>
          <w:sz w:val="26"/>
          <w:szCs w:val="26"/>
          <w:rtl w:val="0"/>
        </w:rPr>
        <w:t xml:space="preserve">Methods and Study Design</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Study Design &amp; Setting:</w:t>
      </w:r>
      <w:r w:rsidDel="00000000" w:rsidR="00000000" w:rsidRPr="00000000">
        <w:rPr>
          <w:color w:val="1f1f1f"/>
          <w:rtl w:val="0"/>
        </w:rPr>
        <w:t xml:space="preserve"> A prospective, observational cohort study conducted at Al Demerdash hospital. To ensure data homogeneity, </w:t>
      </w:r>
      <w:r w:rsidDel="00000000" w:rsidR="00000000" w:rsidRPr="00000000">
        <w:rPr>
          <w:b w:val="1"/>
          <w:bCs w:val="1"/>
          <w:color w:val="1f1f1f"/>
          <w:rtl w:val="0"/>
        </w:rPr>
        <w:t xml:space="preserve">"Time Zero"</w:t>
      </w:r>
      <w:r w:rsidDel="00000000" w:rsidR="00000000" w:rsidRPr="00000000">
        <w:rPr>
          <w:color w:val="1f1f1f"/>
          <w:rtl w:val="0"/>
        </w:rPr>
        <w:t xml:space="preserve"> is strictly defined as the timestamp of </w:t>
      </w:r>
      <w:r w:rsidDel="00000000" w:rsidR="00000000" w:rsidRPr="00000000">
        <w:rPr>
          <w:b w:val="1"/>
          <w:bCs w:val="1"/>
          <w:color w:val="1f1f1f"/>
          <w:rtl w:val="0"/>
        </w:rPr>
        <w:t xml:space="preserve">Emergency Department (ED) Admission</w:t>
      </w:r>
      <w:r w:rsidDel="00000000" w:rsidR="00000000" w:rsidRPr="00000000">
        <w:rPr>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Participant Selection:</w:t>
      </w:r>
    </w:p>
    <w:p w:rsidR="00000000" w:rsidDel="00000000" w:rsidP="00000000" w:rsidRDefault="00000000" w:rsidRPr="00000000" w14:paraId="00000021">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Inclusion Criteria: </w:t>
      </w:r>
      <w:r w:rsidDel="00000000" w:rsidR="00000000" w:rsidRPr="00000000">
        <w:rPr>
          <w:color w:val="1f1f1f"/>
          <w:rtl w:val="0"/>
        </w:rPr>
        <w:t xml:space="preserve">* Adults (age &gt; or = 18 years) presenting with </w:t>
      </w:r>
      <w:r w:rsidDel="00000000" w:rsidR="00000000" w:rsidRPr="00000000">
        <w:rPr>
          <w:b w:val="1"/>
          <w:bCs w:val="1"/>
          <w:color w:val="1f1f1f"/>
          <w:rtl w:val="0"/>
        </w:rPr>
        <w:t xml:space="preserve">Polytrauma</w:t>
      </w:r>
      <w:r w:rsidDel="00000000" w:rsidR="00000000" w:rsidRPr="00000000">
        <w:rPr>
          <w:color w:val="1f1f1f"/>
          <w:rtl w:val="0"/>
        </w:rPr>
        <w:t xml:space="preserve">, defined by an </w:t>
      </w:r>
      <w:r w:rsidDel="00000000" w:rsidR="00000000" w:rsidRPr="00000000">
        <w:rPr>
          <w:b w:val="1"/>
          <w:bCs w:val="1"/>
          <w:color w:val="1f1f1f"/>
          <w:rtl w:val="0"/>
        </w:rPr>
        <w:t xml:space="preserve">Injury Severity Score (ISS) &gt; 15</w:t>
      </w:r>
      <w:r w:rsidDel="00000000" w:rsidR="00000000" w:rsidRPr="00000000">
        <w:rPr>
          <w:color w:val="1f1f1f"/>
          <w:rtl w:val="0"/>
        </w:rPr>
        <w:t xml:space="preserve"> or the </w:t>
      </w:r>
      <w:r w:rsidDel="00000000" w:rsidR="00000000" w:rsidRPr="00000000">
        <w:rPr>
          <w:b w:val="1"/>
          <w:bCs w:val="1"/>
          <w:color w:val="1f1f1f"/>
          <w:rtl w:val="0"/>
        </w:rPr>
        <w:t xml:space="preserve">Berlin Definition</w:t>
      </w:r>
      <w:r w:rsidDel="00000000" w:rsidR="00000000" w:rsidRPr="00000000">
        <w:rPr>
          <w:color w:val="1f1f1f"/>
          <w:rtl w:val="0"/>
        </w:rPr>
        <w:t xml:space="preserve">.</w:t>
      </w:r>
    </w:p>
    <w:p w:rsidR="00000000" w:rsidDel="00000000" w:rsidP="00000000" w:rsidRDefault="00000000" w:rsidRPr="00000000" w14:paraId="00000022">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Arrival within 6 hours of the initial injury.</w:t>
      </w:r>
    </w:p>
    <w:p w:rsidR="00000000" w:rsidDel="00000000" w:rsidP="00000000" w:rsidRDefault="00000000" w:rsidRPr="00000000" w14:paraId="00000023">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Exclusion Criteria:</w:t>
      </w:r>
    </w:p>
    <w:p w:rsidR="00000000" w:rsidDel="00000000" w:rsidP="00000000" w:rsidRDefault="00000000" w:rsidRPr="00000000" w14:paraId="00000024">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Patients </w:t>
      </w:r>
      <w:r w:rsidDel="00000000" w:rsidR="00000000" w:rsidRPr="00000000">
        <w:rPr>
          <w:b w:val="1"/>
          <w:bCs w:val="1"/>
          <w:color w:val="1f1f1f"/>
          <w:rtl w:val="0"/>
        </w:rPr>
        <w:t xml:space="preserve">Dead on Arrival (DOA)</w:t>
      </w:r>
      <w:r w:rsidDel="00000000" w:rsidR="00000000" w:rsidRPr="00000000">
        <w:rPr>
          <w:color w:val="1f1f1f"/>
          <w:rtl w:val="0"/>
        </w:rPr>
        <w:t xml:space="preserve"> or those with no recordable vitals.</w:t>
      </w:r>
    </w:p>
    <w:p w:rsidR="00000000" w:rsidDel="00000000" w:rsidP="00000000" w:rsidRDefault="00000000" w:rsidRPr="00000000" w14:paraId="00000025">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Inter-hospital transfers</w:t>
      </w:r>
      <w:r w:rsidDel="00000000" w:rsidR="00000000" w:rsidRPr="00000000">
        <w:rPr>
          <w:color w:val="1f1f1f"/>
          <w:rtl w:val="0"/>
        </w:rPr>
        <w:t xml:space="preserve"> (to avoid "stabilization bias" where raw baseline data is lost).</w:t>
      </w:r>
    </w:p>
    <w:p w:rsidR="00000000" w:rsidDel="00000000" w:rsidP="00000000" w:rsidRDefault="00000000" w:rsidRPr="00000000" w14:paraId="00000026">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Pregnant women (due to gestational tachycardia and increased blood volume).</w:t>
      </w:r>
    </w:p>
    <w:p w:rsidR="00000000" w:rsidDel="00000000" w:rsidP="00000000" w:rsidRDefault="00000000" w:rsidRPr="00000000" w14:paraId="00000027">
      <w:pPr>
        <w:numPr>
          <w:ilvl w:val="1"/>
          <w:numId w:val="10"/>
        </w:numPr>
        <w:pBdr>
          <w:top w:space="0" w:sz="0" w:val="nil"/>
          <w:bottom w:space="0" w:sz="0" w:val="nil"/>
          <w:right w:space="0" w:sz="0" w:val="nil"/>
          <w:between w:space="0" w:sz="0" w:val="nil"/>
        </w:pBdr>
        <w:spacing w:after="600" w:lineRule="auto"/>
        <w:ind w:left="1440" w:hanging="360"/>
      </w:pPr>
      <w:r w:rsidDel="00000000" w:rsidR="00000000" w:rsidRPr="00000000">
        <w:rPr>
          <w:color w:val="1f1f1f"/>
          <w:rtl w:val="0"/>
        </w:rPr>
        <w:t xml:space="preserve">Patients with </w:t>
      </w:r>
      <w:r w:rsidDel="00000000" w:rsidR="00000000" w:rsidRPr="00000000">
        <w:rPr>
          <w:b w:val="1"/>
          <w:bCs w:val="1"/>
          <w:color w:val="1f1f1f"/>
          <w:rtl w:val="0"/>
        </w:rPr>
        <w:t xml:space="preserve">End-Stage Renal Disease (ESRD)</w:t>
      </w:r>
      <w:r w:rsidDel="00000000" w:rsidR="00000000" w:rsidRPr="00000000">
        <w:rPr>
          <w:color w:val="1f1f1f"/>
          <w:rtl w:val="0"/>
        </w:rPr>
        <w:t xml:space="preserve">, which naturally elevates baseline lactate.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Variables &amp; Clinical Definitions:</w:t>
      </w:r>
    </w:p>
    <w:p w:rsidR="00000000" w:rsidDel="00000000" w:rsidP="00000000" w:rsidRDefault="00000000" w:rsidRPr="00000000" w14:paraId="00000029">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Shock Index (SI):</w:t>
      </w:r>
      <w:r w:rsidDel="00000000" w:rsidR="00000000" w:rsidRPr="00000000">
        <w:rPr>
          <w:color w:val="1f1f1f"/>
          <w:rtl w:val="0"/>
        </w:rPr>
        <w:t xml:space="preserve"> </w:t>
      </w:r>
    </w:p>
    <w:p w:rsidR="00000000" w:rsidDel="00000000" w:rsidP="00000000" w:rsidRDefault="00000000" w:rsidRPr="00000000" w14:paraId="0000002A">
      <w:pPr>
        <w:pBdr>
          <w:top w:space="0" w:sz="0" w:val="nil"/>
          <w:bottom w:space="0" w:sz="0" w:val="nil"/>
          <w:right w:space="0" w:sz="0" w:val="nil"/>
          <w:between w:space="0" w:sz="0" w:val="nil"/>
        </w:pBdr>
        <w:spacing w:after="360" w:lineRule="auto"/>
        <w:ind w:left="720" w:firstLine="0"/>
        <w:rPr>
          <w:color w:val="1f1f1f"/>
        </w:rPr>
      </w:pPr>
      <w:r w:rsidDel="00000000" w:rsidR="00000000" w:rsidRPr="00000000">
        <w:rPr>
          <w:color w:val="1f1f1f"/>
          <w:rtl w:val="0"/>
        </w:rPr>
        <w:t xml:space="preserve">Calculated as </w:t>
      </w:r>
      <w:r w:rsidDel="00000000" w:rsidR="00000000" w:rsidRPr="00000000">
        <w:rPr>
          <w:b w:val="1"/>
          <w:bCs w:val="1"/>
          <w:color w:val="1f1f1f"/>
          <w:rtl w:val="0"/>
        </w:rPr>
        <w:t xml:space="preserve">SI = HR / SBP</w:t>
      </w:r>
      <w:r w:rsidDel="00000000" w:rsidR="00000000" w:rsidRPr="00000000">
        <w:rPr>
          <w:color w:val="1f1f1f"/>
          <w:rtl w:val="0"/>
        </w:rPr>
        <w:br w:type="textWrapping"/>
        <w:t xml:space="preserve">.</w:t>
      </w:r>
    </w:p>
    <w:p w:rsidR="00000000" w:rsidDel="00000000" w:rsidP="00000000" w:rsidRDefault="00000000" w:rsidRPr="00000000" w14:paraId="0000002B">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Age-Shock Index:</w:t>
      </w:r>
      <w:r w:rsidDel="00000000" w:rsidR="00000000" w:rsidRPr="00000000">
        <w:rPr>
          <w:color w:val="1f1f1f"/>
          <w:rtl w:val="0"/>
        </w:rPr>
        <w:t xml:space="preserve"> </w:t>
      </w:r>
    </w:p>
    <w:p w:rsidR="00000000" w:rsidDel="00000000" w:rsidP="00000000" w:rsidRDefault="00000000" w:rsidRPr="00000000" w14:paraId="0000002C">
      <w:pPr>
        <w:pBdr>
          <w:top w:space="0" w:sz="0" w:val="nil"/>
          <w:bottom w:space="0" w:sz="0" w:val="nil"/>
          <w:right w:space="0" w:sz="0" w:val="nil"/>
          <w:between w:space="0" w:sz="0" w:val="nil"/>
        </w:pBdr>
        <w:spacing w:after="360" w:lineRule="auto"/>
        <w:ind w:left="720" w:firstLine="0"/>
        <w:rPr>
          <w:color w:val="1f1f1f"/>
        </w:rPr>
      </w:pPr>
      <w:r w:rsidDel="00000000" w:rsidR="00000000" w:rsidRPr="00000000">
        <w:rPr>
          <w:color w:val="1f1f1f"/>
          <w:rtl w:val="0"/>
        </w:rPr>
        <w:t xml:space="preserve">Calculated as </w:t>
      </w:r>
      <w:r w:rsidDel="00000000" w:rsidR="00000000" w:rsidRPr="00000000">
        <w:rPr>
          <w:b w:val="1"/>
          <w:bCs w:val="1"/>
          <w:color w:val="1f1f1f"/>
          <w:rtl w:val="0"/>
        </w:rPr>
        <w:t xml:space="preserve">Age x SI</w:t>
      </w:r>
      <w:r w:rsidDel="00000000" w:rsidR="00000000" w:rsidRPr="00000000">
        <w:rPr>
          <w:color w:val="1f1f1f"/>
          <w:rtl w:val="0"/>
        </w:rPr>
        <w:t xml:space="preserve"> to adjust for geriatric physiological blunting.</w:t>
      </w:r>
    </w:p>
    <w:p w:rsidR="00000000" w:rsidDel="00000000" w:rsidP="00000000" w:rsidRDefault="00000000" w:rsidRPr="00000000" w14:paraId="0000002D">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Serum Lactate:</w:t>
      </w:r>
    </w:p>
    <w:p w:rsidR="00000000" w:rsidDel="00000000" w:rsidP="00000000" w:rsidRDefault="00000000" w:rsidRPr="00000000" w14:paraId="0000002E">
      <w:pPr>
        <w:pBdr>
          <w:top w:space="0" w:sz="0" w:val="nil"/>
          <w:bottom w:space="0" w:sz="0" w:val="nil"/>
          <w:right w:space="0" w:sz="0" w:val="nil"/>
          <w:between w:space="0" w:sz="0" w:val="nil"/>
        </w:pBdr>
        <w:spacing w:after="360" w:lineRule="auto"/>
        <w:ind w:left="720" w:firstLine="0"/>
        <w:rPr>
          <w:color w:val="1f1f1f"/>
        </w:rPr>
      </w:pPr>
      <w:r w:rsidDel="00000000" w:rsidR="00000000" w:rsidRPr="00000000">
        <w:rPr>
          <w:color w:val="1f1f1f"/>
          <w:rtl w:val="0"/>
        </w:rPr>
        <w:t xml:space="preserve"> Measured in </w:t>
      </w:r>
      <w:r w:rsidDel="00000000" w:rsidR="00000000" w:rsidRPr="00000000">
        <w:rPr>
          <w:b w:val="1"/>
          <w:bCs w:val="1"/>
          <w:color w:val="1f1f1f"/>
          <w:rtl w:val="0"/>
        </w:rPr>
        <w:t xml:space="preserve">mmol/L</w:t>
      </w:r>
      <w:r w:rsidDel="00000000" w:rsidR="00000000" w:rsidRPr="00000000">
        <w:rPr>
          <w:color w:val="1f1f1f"/>
          <w:rtl w:val="0"/>
        </w:rPr>
        <w:t xml:space="preserve">. We will record the </w:t>
      </w:r>
      <w:r w:rsidDel="00000000" w:rsidR="00000000" w:rsidRPr="00000000">
        <w:rPr>
          <w:b w:val="1"/>
          <w:bCs w:val="1"/>
          <w:color w:val="1f1f1f"/>
          <w:rtl w:val="0"/>
        </w:rPr>
        <w:t xml:space="preserve">Initial Lactate</w:t>
      </w:r>
      <w:r w:rsidDel="00000000" w:rsidR="00000000" w:rsidRPr="00000000">
        <w:rPr>
          <w:color w:val="1f1f1f"/>
          <w:rtl w:val="0"/>
        </w:rPr>
        <w:t xml:space="preserve"> (first draw) and </w:t>
      </w:r>
      <w:r w:rsidDel="00000000" w:rsidR="00000000" w:rsidRPr="00000000">
        <w:rPr>
          <w:b w:val="1"/>
          <w:bCs w:val="1"/>
          <w:color w:val="1f1f1f"/>
          <w:rtl w:val="0"/>
        </w:rPr>
        <w:t xml:space="preserve">2-Hour Lactate</w:t>
      </w:r>
      <w:r w:rsidDel="00000000" w:rsidR="00000000" w:rsidRPr="00000000">
        <w:rPr>
          <w:color w:val="1f1f1f"/>
          <w:rtl w:val="0"/>
        </w:rPr>
        <w:t xml:space="preserve"> to calculate </w:t>
      </w:r>
      <w:r w:rsidDel="00000000" w:rsidR="00000000" w:rsidRPr="00000000">
        <w:rPr>
          <w:b w:val="1"/>
          <w:bCs w:val="1"/>
          <w:color w:val="1f1f1f"/>
          <w:rtl w:val="0"/>
        </w:rPr>
        <w:t xml:space="preserve">Lactate Clearance</w:t>
      </w:r>
      <w:r w:rsidDel="00000000" w:rsidR="00000000" w:rsidRPr="00000000">
        <w:rPr>
          <w:color w:val="1f1f1f"/>
          <w:rtl w:val="0"/>
        </w:rPr>
        <w:t xml:space="preserve">.</w:t>
      </w:r>
    </w:p>
    <w:p w:rsidR="00000000" w:rsidDel="00000000" w:rsidP="00000000" w:rsidRDefault="00000000" w:rsidRPr="00000000" w14:paraId="0000002F">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The "Beta-Blocker" Control:</w:t>
      </w:r>
    </w:p>
    <w:p w:rsidR="00000000" w:rsidDel="00000000" w:rsidP="00000000" w:rsidRDefault="00000000" w:rsidRPr="00000000" w14:paraId="00000030">
      <w:pPr>
        <w:pBdr>
          <w:top w:space="0" w:sz="0" w:val="nil"/>
          <w:bottom w:space="0" w:sz="0" w:val="nil"/>
          <w:right w:space="0" w:sz="0" w:val="nil"/>
          <w:between w:space="0" w:sz="0" w:val="nil"/>
        </w:pBdr>
        <w:spacing w:after="360" w:lineRule="auto"/>
        <w:ind w:left="720" w:firstLine="0"/>
        <w:rPr>
          <w:b w:val="1"/>
          <w:bCs w:val="1"/>
          <w:color w:val="1f1f1f"/>
        </w:rPr>
      </w:pPr>
      <w:r w:rsidDel="00000000" w:rsidR="00000000" w:rsidRPr="00000000">
        <w:rPr>
          <w:color w:val="1f1f1f"/>
          <w:rtl w:val="0"/>
        </w:rPr>
        <w:t xml:space="preserve"> All patients will be screened for chronic beta-blocker or Calcium Channel Blocker use, as these medications </w:t>
      </w:r>
      <w:r w:rsidDel="00000000" w:rsidR="00000000" w:rsidRPr="00000000">
        <w:rPr>
          <w:b w:val="1"/>
          <w:bCs w:val="1"/>
          <w:color w:val="1f1f1f"/>
          <w:rtl w:val="0"/>
        </w:rPr>
        <w:t xml:space="preserve">prevent the compensatory tachycardia required for an accurate SI.</w:t>
      </w:r>
    </w:p>
    <w:p w:rsidR="00000000" w:rsidDel="00000000" w:rsidP="00000000" w:rsidRDefault="00000000" w:rsidRPr="00000000" w14:paraId="00000031">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Confounding Variables:</w:t>
      </w:r>
      <w:r w:rsidDel="00000000" w:rsidR="00000000" w:rsidRPr="00000000">
        <w:rPr>
          <w:rtl w:val="0"/>
        </w:rPr>
      </w:r>
    </w:p>
    <w:p w:rsidR="00000000" w:rsidDel="00000000" w:rsidP="00000000" w:rsidRDefault="00000000" w:rsidRPr="00000000" w14:paraId="00000032">
      <w:pPr>
        <w:pBdr>
          <w:top w:space="0" w:sz="0" w:val="nil"/>
          <w:bottom w:space="0" w:sz="0" w:val="nil"/>
          <w:right w:space="0" w:sz="0" w:val="nil"/>
          <w:between w:space="0" w:sz="0" w:val="nil"/>
        </w:pBdr>
        <w:spacing w:after="360" w:lineRule="auto"/>
        <w:ind w:left="720" w:firstLine="0"/>
        <w:rPr>
          <w:color w:val="1f1f1f"/>
        </w:rPr>
      </w:pPr>
      <w:r w:rsidDel="00000000" w:rsidR="00000000" w:rsidRPr="00000000">
        <w:rPr>
          <w:color w:val="1f1f1f"/>
          <w:rtl w:val="0"/>
        </w:rPr>
        <w:t xml:space="preserve"> Body temperature (&lt; 35 °C), Glasgow Coma Scale (GCS), Blood Alcohol Content (BAC), and pre-hospital fluid volume (crystalloids).</w:t>
      </w:r>
    </w:p>
    <w:p w:rsidR="00000000" w:rsidDel="00000000" w:rsidP="00000000" w:rsidRDefault="00000000" w:rsidRPr="00000000" w14:paraId="00000033">
      <w:pPr>
        <w:rPr>
          <w:color w:val="1f1f1f"/>
        </w:rPr>
      </w:pPr>
      <w:r w:rsidDel="00000000" w:rsidR="00000000" w:rsidRPr="00000000">
        <w:rPr>
          <w:color w:val="1f1f1f"/>
          <w:rtl w:val="0"/>
        </w:rPr>
        <w:t xml:space="preserve">The 2-hour interval for lactate clearance was selected based on evidence suggesting it provides high specificity for 30-day mortality in multi-trauma cohorts [3]. </w:t>
      </w:r>
    </w:p>
    <w:p w:rsidR="00000000" w:rsidDel="00000000" w:rsidP="00000000" w:rsidRDefault="00000000" w:rsidRPr="00000000" w14:paraId="00000034">
      <w:pPr>
        <w:rPr>
          <w:color w:val="1f1f1f"/>
        </w:rPr>
      </w:pPr>
      <w:r w:rsidDel="00000000" w:rsidR="00000000" w:rsidRPr="00000000">
        <w:rPr>
          <w:rtl w:val="0"/>
        </w:rPr>
      </w:r>
    </w:p>
    <w:p w:rsidR="00000000" w:rsidDel="00000000" w:rsidP="00000000" w:rsidRDefault="00000000" w:rsidRPr="00000000" w14:paraId="000000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1f1f1f"/>
          <w:sz w:val="26"/>
          <w:szCs w:val="26"/>
        </w:rPr>
      </w:pPr>
      <w:bookmarkStart w:colFirst="0" w:colLast="0" w:name="_rmaj78o93ckf" w:id="9"/>
      <w:bookmarkEnd w:id="9"/>
      <w:r w:rsidDel="00000000" w:rsidR="00000000" w:rsidRPr="00000000">
        <w:rPr>
          <w:b w:val="1"/>
          <w:bCs w:val="1"/>
          <w:color w:val="1f1f1f"/>
          <w:sz w:val="26"/>
          <w:szCs w:val="26"/>
          <w:rtl w:val="0"/>
        </w:rPr>
        <w:t xml:space="preserve">Methods of Data Collection</w:t>
      </w:r>
    </w:p>
    <w:p w:rsidR="00000000" w:rsidDel="00000000" w:rsidP="00000000" w:rsidRDefault="00000000" w:rsidRPr="00000000" w14:paraId="00000037">
      <w:pPr>
        <w:spacing w:after="240" w:before="240" w:lineRule="auto"/>
        <w:rPr>
          <w:color w:val="1f1f1f"/>
        </w:rPr>
      </w:pPr>
      <w:r w:rsidDel="00000000" w:rsidR="00000000" w:rsidRPr="00000000">
        <w:rPr>
          <w:color w:val="1f1f1f"/>
          <w:rtl w:val="0"/>
        </w:rPr>
        <w:t xml:space="preserve">Data collection will follow a standardized, prospective workflow designed to ensure high fidelity and minimize observer bias.</w:t>
      </w:r>
    </w:p>
    <w:p w:rsidR="00000000" w:rsidDel="00000000" w:rsidP="00000000" w:rsidRDefault="00000000" w:rsidRPr="00000000" w14:paraId="00000038">
      <w:pPr>
        <w:pStyle w:val="Heading4"/>
        <w:keepNext w:val="0"/>
        <w:keepLines w:val="0"/>
        <w:spacing w:after="40" w:before="240" w:lineRule="auto"/>
        <w:rPr>
          <w:b w:val="1"/>
          <w:bCs w:val="1"/>
          <w:color w:val="1f1f1f"/>
          <w:sz w:val="22"/>
          <w:szCs w:val="22"/>
        </w:rPr>
      </w:pPr>
      <w:bookmarkStart w:colFirst="0" w:colLast="0" w:name="_rkmz6d2v6wxc" w:id="10"/>
      <w:bookmarkEnd w:id="10"/>
      <w:r w:rsidDel="00000000" w:rsidR="00000000" w:rsidRPr="00000000">
        <w:rPr>
          <w:b w:val="1"/>
          <w:bCs w:val="1"/>
          <w:color w:val="1f1f1f"/>
          <w:sz w:val="22"/>
          <w:szCs w:val="22"/>
          <w:rtl w:val="0"/>
        </w:rPr>
        <w:t xml:space="preserve">The “Time Zero” Protocol</w:t>
      </w:r>
    </w:p>
    <w:p w:rsidR="00000000" w:rsidDel="00000000" w:rsidP="00000000" w:rsidRDefault="00000000" w:rsidRPr="00000000" w14:paraId="00000039">
      <w:pPr>
        <w:spacing w:after="240" w:before="240" w:lineRule="auto"/>
        <w:rPr>
          <w:color w:val="1f1f1f"/>
        </w:rPr>
      </w:pPr>
      <w:r w:rsidDel="00000000" w:rsidR="00000000" w:rsidRPr="00000000">
        <w:rPr>
          <w:color w:val="1f1f1f"/>
          <w:rtl w:val="0"/>
        </w:rPr>
        <w:t xml:space="preserve">Upon arrival at the Emergency Department (ED), the research team will record the exact timestamp of admission. All </w:t>
      </w:r>
      <w:r w:rsidDel="00000000" w:rsidR="00000000" w:rsidRPr="00000000">
        <w:rPr>
          <w:b w:val="1"/>
          <w:bCs w:val="1"/>
          <w:color w:val="1f1f1f"/>
          <w:rtl w:val="0"/>
        </w:rPr>
        <w:t xml:space="preserve">initial vital signs</w:t>
      </w:r>
      <w:r w:rsidDel="00000000" w:rsidR="00000000" w:rsidRPr="00000000">
        <w:rPr>
          <w:color w:val="1f1f1f"/>
          <w:rtl w:val="0"/>
        </w:rPr>
        <w:t xml:space="preserve"> will be taken from the first recorded set in the trauma bay to ensure the data reflects the patient’s baseline, pre-resuscitation state.</w:t>
      </w:r>
    </w:p>
    <w:p w:rsidR="00000000" w:rsidDel="00000000" w:rsidP="00000000" w:rsidRDefault="00000000" w:rsidRPr="00000000" w14:paraId="0000003A">
      <w:pPr>
        <w:pStyle w:val="Heading4"/>
        <w:keepNext w:val="0"/>
        <w:keepLines w:val="0"/>
        <w:spacing w:after="40" w:before="240" w:lineRule="auto"/>
        <w:rPr>
          <w:b w:val="1"/>
          <w:bCs w:val="1"/>
          <w:color w:val="1f1f1f"/>
          <w:sz w:val="22"/>
          <w:szCs w:val="22"/>
        </w:rPr>
      </w:pPr>
      <w:bookmarkStart w:colFirst="0" w:colLast="0" w:name="_wvhtm1ypzjjy" w:id="11"/>
      <w:bookmarkEnd w:id="11"/>
      <w:r w:rsidDel="00000000" w:rsidR="00000000" w:rsidRPr="00000000">
        <w:rPr>
          <w:b w:val="1"/>
          <w:bCs w:val="1"/>
          <w:color w:val="1f1f1f"/>
          <w:sz w:val="22"/>
          <w:szCs w:val="22"/>
          <w:rtl w:val="0"/>
        </w:rPr>
        <w:t xml:space="preserve">Clinical &amp; Laboratory Parameters</w:t>
      </w:r>
    </w:p>
    <w:p w:rsidR="00000000" w:rsidDel="00000000" w:rsidP="00000000" w:rsidRDefault="00000000" w:rsidRPr="00000000" w14:paraId="0000003B">
      <w:pPr>
        <w:numPr>
          <w:ilvl w:val="0"/>
          <w:numId w:val="5"/>
        </w:numPr>
        <w:spacing w:after="0" w:afterAutospacing="0" w:before="240" w:lineRule="auto"/>
        <w:ind w:left="720" w:hanging="360"/>
        <w:rPr>
          <w:color w:val="1f1f1f"/>
        </w:rPr>
      </w:pPr>
      <w:r w:rsidDel="00000000" w:rsidR="00000000" w:rsidRPr="00000000">
        <w:rPr>
          <w:b w:val="1"/>
          <w:bCs w:val="1"/>
          <w:color w:val="1f1f1f"/>
          <w:rtl w:val="0"/>
        </w:rPr>
        <w:t xml:space="preserve">Hemodynamics:</w:t>
      </w:r>
      <w:r w:rsidDel="00000000" w:rsidR="00000000" w:rsidRPr="00000000">
        <w:rPr>
          <w:color w:val="1f1f1f"/>
          <w:rtl w:val="0"/>
        </w:rPr>
        <w:t xml:space="preserve"> HR and SBP will be measured using calibrated oscillometric monitors. The </w:t>
      </w:r>
      <w:r w:rsidDel="00000000" w:rsidR="00000000" w:rsidRPr="00000000">
        <w:rPr>
          <w:b w:val="1"/>
          <w:bCs w:val="1"/>
          <w:color w:val="1f1f1f"/>
          <w:rtl w:val="0"/>
        </w:rPr>
        <w:t xml:space="preserve">Shock Index (SI)</w:t>
      </w:r>
      <w:r w:rsidDel="00000000" w:rsidR="00000000" w:rsidRPr="00000000">
        <w:rPr>
          <w:color w:val="1f1f1f"/>
          <w:rtl w:val="0"/>
        </w:rPr>
        <w:t xml:space="preserve"> and </w:t>
      </w:r>
      <w:r w:rsidDel="00000000" w:rsidR="00000000" w:rsidRPr="00000000">
        <w:rPr>
          <w:b w:val="1"/>
          <w:bCs w:val="1"/>
          <w:color w:val="1f1f1f"/>
          <w:rtl w:val="0"/>
        </w:rPr>
        <w:t xml:space="preserve">Age-Adjusted Shock Index (Age-SI)</w:t>
      </w:r>
      <w:r w:rsidDel="00000000" w:rsidR="00000000" w:rsidRPr="00000000">
        <w:rPr>
          <w:color w:val="1f1f1f"/>
          <w:rtl w:val="0"/>
        </w:rPr>
        <w:t xml:space="preserve"> will be calculated automatically within the electronic Case Report Form (eCRF).</w:t>
      </w:r>
    </w:p>
    <w:p w:rsidR="00000000" w:rsidDel="00000000" w:rsidP="00000000" w:rsidRDefault="00000000" w:rsidRPr="00000000" w14:paraId="0000003C">
      <w:pPr>
        <w:numPr>
          <w:ilvl w:val="0"/>
          <w:numId w:val="5"/>
        </w:numPr>
        <w:spacing w:after="0" w:afterAutospacing="0" w:before="0" w:beforeAutospacing="0" w:lineRule="auto"/>
        <w:ind w:left="720" w:hanging="360"/>
        <w:rPr>
          <w:color w:val="1f1f1f"/>
        </w:rPr>
      </w:pPr>
      <w:r w:rsidDel="00000000" w:rsidR="00000000" w:rsidRPr="00000000">
        <w:rPr>
          <w:b w:val="1"/>
          <w:bCs w:val="1"/>
          <w:color w:val="1f1f1f"/>
          <w:rtl w:val="0"/>
        </w:rPr>
        <w:t xml:space="preserve">Biochemical Markers:</w:t>
        <w:br w:type="textWrapping"/>
      </w:r>
    </w:p>
    <w:p w:rsidR="00000000" w:rsidDel="00000000" w:rsidP="00000000" w:rsidRDefault="00000000" w:rsidRPr="00000000" w14:paraId="0000003D">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Lactate (T0):</w:t>
      </w:r>
      <w:r w:rsidDel="00000000" w:rsidR="00000000" w:rsidRPr="00000000">
        <w:rPr>
          <w:color w:val="1f1f1f"/>
          <w:rtl w:val="0"/>
        </w:rPr>
        <w:t xml:space="preserve"> Drawn via arterial or venous puncture within 30 minutes of arrival.</w:t>
      </w:r>
    </w:p>
    <w:p w:rsidR="00000000" w:rsidDel="00000000" w:rsidP="00000000" w:rsidRDefault="00000000" w:rsidRPr="00000000" w14:paraId="0000003E">
      <w:pPr>
        <w:numPr>
          <w:ilvl w:val="1"/>
          <w:numId w:val="5"/>
        </w:numPr>
        <w:spacing w:after="0" w:afterAutospacing="0" w:before="0" w:beforeAutospacing="0" w:lineRule="auto"/>
        <w:ind w:left="1440" w:hanging="360"/>
        <w:rPr>
          <w:color w:val="1f1f1f"/>
        </w:rPr>
      </w:pPr>
      <w:r w:rsidDel="00000000" w:rsidR="00000000" w:rsidRPr="00000000">
        <w:rPr>
          <w:b w:val="1"/>
          <w:bCs w:val="1"/>
          <w:color w:val="1f1f1f"/>
          <w:rtl w:val="0"/>
        </w:rPr>
        <w:t xml:space="preserve">Lactate (T2):</w:t>
      </w:r>
      <w:r w:rsidDel="00000000" w:rsidR="00000000" w:rsidRPr="00000000">
        <w:rPr>
          <w:color w:val="1f1f1f"/>
          <w:rtl w:val="0"/>
        </w:rPr>
        <w:t xml:space="preserve"> A follow-up sample drawn 120 minutes (±15 minutes) after the first draw.</w:t>
      </w:r>
    </w:p>
    <w:p w:rsidR="00000000" w:rsidDel="00000000" w:rsidP="00000000" w:rsidRDefault="00000000" w:rsidRPr="00000000" w14:paraId="0000003F">
      <w:pPr>
        <w:numPr>
          <w:ilvl w:val="1"/>
          <w:numId w:val="5"/>
        </w:numPr>
        <w:spacing w:after="240" w:before="0" w:beforeAutospacing="0" w:lineRule="auto"/>
        <w:ind w:left="1440" w:hanging="360"/>
        <w:rPr>
          <w:color w:val="1f1f1f"/>
        </w:rPr>
      </w:pPr>
      <w:r w:rsidDel="00000000" w:rsidR="00000000" w:rsidRPr="00000000">
        <w:rPr>
          <w:b w:val="1"/>
          <w:bCs w:val="1"/>
          <w:color w:val="1f1f1f"/>
          <w:rtl w:val="0"/>
        </w:rPr>
        <w:t xml:space="preserve">Lactate Clearance Calculation:</w:t>
        <w:br w:type="textWrapping"/>
      </w:r>
      <w:r w:rsidDel="00000000" w:rsidR="00000000" w:rsidRPr="00000000">
        <w:rPr>
          <w:color w:val="1f1f1f"/>
          <w:rtl w:val="0"/>
        </w:rPr>
        <w:t xml:space="preserve">Lactate Clearance = [ ( Lactate (T0) - Lactate (T2))  x 100 / (Lactate (T0) ]</w:t>
      </w:r>
    </w:p>
    <w:p w:rsidR="00000000" w:rsidDel="00000000" w:rsidP="00000000" w:rsidRDefault="00000000" w:rsidRPr="00000000" w14:paraId="00000040">
      <w:pPr>
        <w:spacing w:after="240" w:before="240" w:lineRule="auto"/>
        <w:ind w:left="1440" w:firstLine="0"/>
        <w:rPr>
          <w:color w:val="1f1f1f"/>
        </w:rPr>
      </w:pPr>
      <w:r w:rsidDel="00000000" w:rsidR="00000000" w:rsidRPr="00000000">
        <w:rPr>
          <w:rtl w:val="0"/>
        </w:rPr>
      </w:r>
    </w:p>
    <w:p w:rsidR="00000000" w:rsidDel="00000000" w:rsidP="00000000" w:rsidRDefault="00000000" w:rsidRPr="00000000" w14:paraId="00000041">
      <w:pPr>
        <w:numPr>
          <w:ilvl w:val="0"/>
          <w:numId w:val="5"/>
        </w:numPr>
        <w:spacing w:after="240" w:before="240" w:lineRule="auto"/>
        <w:ind w:left="720" w:hanging="360"/>
        <w:rPr>
          <w:color w:val="1f1f1f"/>
        </w:rPr>
      </w:pPr>
      <w:r w:rsidDel="00000000" w:rsidR="00000000" w:rsidRPr="00000000">
        <w:rPr>
          <w:b w:val="1"/>
          <w:bCs w:val="1"/>
          <w:color w:val="1f1f1f"/>
          <w:rtl w:val="0"/>
        </w:rPr>
        <w:t xml:space="preserve">Injury Metrics:</w:t>
      </w:r>
      <w:r w:rsidDel="00000000" w:rsidR="00000000" w:rsidRPr="00000000">
        <w:rPr>
          <w:color w:val="1f1f1f"/>
          <w:rtl w:val="0"/>
        </w:rPr>
        <w:t xml:space="preserve"> The Injury Severity Score (ISS) will be calculated by a blinded researcher using the Abbreviated Injury Scale (AIS) after completion of all radiological imaging (CT/X-ray).</w:t>
      </w:r>
    </w:p>
    <w:p w:rsidR="00000000" w:rsidDel="00000000" w:rsidP="00000000" w:rsidRDefault="00000000" w:rsidRPr="00000000" w14:paraId="000000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1f1f1f"/>
          <w:sz w:val="22"/>
          <w:szCs w:val="22"/>
        </w:rPr>
      </w:pPr>
      <w:bookmarkStart w:colFirst="0" w:colLast="0" w:name="_6m6tf68klh0w" w:id="12"/>
      <w:bookmarkEnd w:id="12"/>
      <w:r w:rsidDel="00000000" w:rsidR="00000000" w:rsidRPr="00000000">
        <w:rPr>
          <w:b w:val="1"/>
          <w:bCs w:val="1"/>
          <w:color w:val="1f1f1f"/>
          <w:sz w:val="22"/>
          <w:szCs w:val="22"/>
          <w:rtl w:val="0"/>
        </w:rPr>
        <w:t xml:space="preserve">Data Quality &amp; Standards</w:t>
      </w:r>
    </w:p>
    <w:p w:rsidR="00000000" w:rsidDel="00000000" w:rsidP="00000000" w:rsidRDefault="00000000" w:rsidRPr="00000000" w14:paraId="00000044">
      <w:pPr>
        <w:numPr>
          <w:ilvl w:val="0"/>
          <w:numId w:val="4"/>
        </w:numPr>
        <w:spacing w:after="0" w:afterAutospacing="0" w:before="240" w:lineRule="auto"/>
        <w:ind w:left="720" w:hanging="360"/>
        <w:rPr>
          <w:color w:val="1f1f1f"/>
        </w:rPr>
      </w:pPr>
      <w:r w:rsidDel="00000000" w:rsidR="00000000" w:rsidRPr="00000000">
        <w:rPr>
          <w:b w:val="1"/>
          <w:bCs w:val="1"/>
          <w:color w:val="1f1f1f"/>
          <w:rtl w:val="0"/>
        </w:rPr>
        <w:t xml:space="preserve">CDASH Compliance:</w:t>
      </w:r>
      <w:r w:rsidDel="00000000" w:rsidR="00000000" w:rsidRPr="00000000">
        <w:rPr>
          <w:color w:val="1f1f1f"/>
          <w:rtl w:val="0"/>
        </w:rPr>
        <w:t xml:space="preserve"> Data will be entered into a Clinical Data Acquisition Standards Harmony (CDASH)-compliant system. Variables such as “Mechanism of Injury” will be recorded using standardized drop-down menus (e.g., Motor Vehicle Accident, Fall, Penetrating) to prevent data fragmentation.</w:t>
      </w:r>
    </w:p>
    <w:p w:rsidR="00000000" w:rsidDel="00000000" w:rsidP="00000000" w:rsidRDefault="00000000" w:rsidRPr="00000000" w14:paraId="00000045">
      <w:pPr>
        <w:numPr>
          <w:ilvl w:val="0"/>
          <w:numId w:val="4"/>
        </w:numPr>
        <w:spacing w:after="0" w:afterAutospacing="0" w:before="0" w:beforeAutospacing="0" w:lineRule="auto"/>
        <w:ind w:left="720" w:hanging="360"/>
        <w:rPr>
          <w:color w:val="1f1f1f"/>
        </w:rPr>
      </w:pPr>
      <w:r w:rsidDel="00000000" w:rsidR="00000000" w:rsidRPr="00000000">
        <w:rPr>
          <w:b w:val="1"/>
          <w:bCs w:val="1"/>
          <w:color w:val="1f1f1f"/>
          <w:rtl w:val="0"/>
        </w:rPr>
        <w:t xml:space="preserve">Medication Screening:</w:t>
      </w:r>
      <w:r w:rsidDel="00000000" w:rsidR="00000000" w:rsidRPr="00000000">
        <w:rPr>
          <w:color w:val="1f1f1f"/>
          <w:rtl w:val="0"/>
        </w:rPr>
        <w:t xml:space="preserve"> A mandatory field in the eCRF will document the use of beta-blockers or calcium channel blockers, identified through family interviews or medical records.</w:t>
      </w:r>
    </w:p>
    <w:p w:rsidR="00000000" w:rsidDel="00000000" w:rsidP="00000000" w:rsidRDefault="00000000" w:rsidRPr="00000000" w14:paraId="00000046">
      <w:pPr>
        <w:numPr>
          <w:ilvl w:val="0"/>
          <w:numId w:val="4"/>
        </w:numPr>
        <w:spacing w:after="240" w:before="0" w:beforeAutospacing="0" w:lineRule="auto"/>
        <w:ind w:left="720" w:hanging="360"/>
        <w:rPr>
          <w:color w:val="1f1f1f"/>
        </w:rPr>
      </w:pPr>
      <w:r w:rsidDel="00000000" w:rsidR="00000000" w:rsidRPr="00000000">
        <w:rPr>
          <w:b w:val="1"/>
          <w:bCs w:val="1"/>
          <w:color w:val="1f1f1f"/>
          <w:rtl w:val="0"/>
        </w:rPr>
        <w:t xml:space="preserve">Double-Check System:</w:t>
      </w:r>
      <w:r w:rsidDel="00000000" w:rsidR="00000000" w:rsidRPr="00000000">
        <w:rPr>
          <w:color w:val="1f1f1f"/>
          <w:rtl w:val="0"/>
        </w:rPr>
        <w:t xml:space="preserve"> To prevent </w:t>
      </w:r>
      <w:r w:rsidDel="00000000" w:rsidR="00000000" w:rsidRPr="00000000">
        <w:rPr>
          <w:i w:val="1"/>
          <w:iCs w:val="1"/>
          <w:color w:val="1f1f1f"/>
          <w:rtl w:val="0"/>
        </w:rPr>
        <w:t xml:space="preserve">immortal time bias</w:t>
      </w:r>
      <w:r w:rsidDel="00000000" w:rsidR="00000000" w:rsidRPr="00000000">
        <w:rPr>
          <w:color w:val="1f1f1f"/>
          <w:rtl w:val="0"/>
        </w:rPr>
        <w:t xml:space="preserve">, patients who die before the 2-hour lactate draw will be analyzed separately in an </w:t>
      </w:r>
      <w:r w:rsidDel="00000000" w:rsidR="00000000" w:rsidRPr="00000000">
        <w:rPr>
          <w:b w:val="1"/>
          <w:bCs w:val="1"/>
          <w:color w:val="1f1f1f"/>
          <w:rtl w:val="0"/>
        </w:rPr>
        <w:t xml:space="preserve">Early Mortality subgroup</w:t>
      </w:r>
      <w:r w:rsidDel="00000000" w:rsidR="00000000" w:rsidRPr="00000000">
        <w:rPr>
          <w:color w:val="1f1f1f"/>
          <w:rtl w:val="0"/>
        </w:rPr>
        <w:t xml:space="preserve">. This ensures their data is not discarded, which would otherwise skew results toward survivors.</w:t>
      </w:r>
    </w:p>
    <w:p w:rsidR="00000000" w:rsidDel="00000000" w:rsidP="00000000" w:rsidRDefault="00000000" w:rsidRPr="00000000" w14:paraId="0000004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ze7j3r9g8kq5" w:id="13"/>
      <w:bookmarkEnd w:id="13"/>
      <w:r w:rsidDel="00000000" w:rsidR="00000000" w:rsidRPr="00000000">
        <w:rPr>
          <w:b w:val="1"/>
          <w:bCs w:val="1"/>
          <w:color w:val="1f1f1f"/>
          <w:sz w:val="26"/>
          <w:szCs w:val="26"/>
          <w:rtl w:val="0"/>
        </w:rPr>
        <w:t xml:space="preserve">Data Collection and Quality Assurance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The eCRF (Electronic Case Report Form):</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Data will be captured using a CDASH-compliant system with the following safeguards:</w:t>
      </w:r>
    </w:p>
    <w:p w:rsidR="00000000" w:rsidDel="00000000" w:rsidP="00000000" w:rsidRDefault="00000000" w:rsidRPr="00000000" w14:paraId="0000004B">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Automated Calculations:</w:t>
      </w:r>
      <w:r w:rsidDel="00000000" w:rsidR="00000000" w:rsidRPr="00000000">
        <w:rPr>
          <w:color w:val="1f1f1f"/>
          <w:rtl w:val="0"/>
        </w:rPr>
        <w:t xml:space="preserve"> SI and Age-SI will be auto-calculated </w:t>
      </w:r>
      <w:r w:rsidDel="00000000" w:rsidR="00000000" w:rsidRPr="00000000">
        <w:rPr>
          <w:b w:val="1"/>
          <w:bCs w:val="1"/>
          <w:color w:val="1f1f1f"/>
          <w:rtl w:val="0"/>
        </w:rPr>
        <w:t xml:space="preserve">to eliminate manual entry errors.</w:t>
      </w:r>
    </w:p>
    <w:p w:rsidR="00000000" w:rsidDel="00000000" w:rsidP="00000000" w:rsidRDefault="00000000" w:rsidRPr="00000000" w14:paraId="0000004C">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Binary Coding:</w:t>
      </w:r>
      <w:r w:rsidDel="00000000" w:rsidR="00000000" w:rsidRPr="00000000">
        <w:rPr>
          <w:color w:val="1f1f1f"/>
          <w:rtl w:val="0"/>
        </w:rPr>
        <w:t xml:space="preserve"> Primary outcomes will be coded as </w:t>
      </w:r>
      <w:r w:rsidDel="00000000" w:rsidR="00000000" w:rsidRPr="00000000">
        <w:rPr>
          <w:b w:val="1"/>
          <w:bCs w:val="1"/>
          <w:color w:val="1f1f1f"/>
          <w:rtl w:val="0"/>
        </w:rPr>
        <w:t xml:space="preserve">0 (Survived) and 1 (Died).</w:t>
      </w:r>
    </w:p>
    <w:p w:rsidR="00000000" w:rsidDel="00000000" w:rsidP="00000000" w:rsidRDefault="00000000" w:rsidRPr="00000000" w14:paraId="0000004D">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Standardized Menus:</w:t>
      </w:r>
      <w:r w:rsidDel="00000000" w:rsidR="00000000" w:rsidRPr="00000000">
        <w:rPr>
          <w:color w:val="1f1f1f"/>
          <w:rtl w:val="0"/>
        </w:rPr>
        <w:t xml:space="preserve"> No free-typing for outcomes or Mechanism of Injury (Blunt vs. Penetrating).</w:t>
      </w:r>
    </w:p>
    <w:p w:rsidR="00000000" w:rsidDel="00000000" w:rsidP="00000000" w:rsidRDefault="00000000" w:rsidRPr="00000000" w14:paraId="0000004E">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Blinding Protocol:</w:t>
      </w:r>
      <w:r w:rsidDel="00000000" w:rsidR="00000000" w:rsidRPr="00000000">
        <w:rPr>
          <w:color w:val="1f1f1f"/>
          <w:rtl w:val="0"/>
        </w:rPr>
        <w:t xml:space="preserve"> The researcher responsible for calculating the </w:t>
      </w:r>
      <w:r w:rsidDel="00000000" w:rsidR="00000000" w:rsidRPr="00000000">
        <w:rPr>
          <w:b w:val="1"/>
          <w:bCs w:val="1"/>
          <w:color w:val="1f1f1f"/>
          <w:rtl w:val="0"/>
        </w:rPr>
        <w:t xml:space="preserve">ISS (Injury Severity Score)</w:t>
      </w:r>
      <w:r w:rsidDel="00000000" w:rsidR="00000000" w:rsidRPr="00000000">
        <w:rPr>
          <w:color w:val="1f1f1f"/>
          <w:rtl w:val="0"/>
        </w:rPr>
        <w:t xml:space="preserve"> will be blinded to the patient’s mortality outcome to mitigate observer bias.</w:t>
      </w:r>
    </w:p>
    <w:p w:rsidR="00000000" w:rsidDel="00000000" w:rsidP="00000000" w:rsidRDefault="00000000" w:rsidRPr="00000000" w14:paraId="0000004F">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Pilot Study:</w:t>
      </w:r>
      <w:r w:rsidDel="00000000" w:rsidR="00000000" w:rsidRPr="00000000">
        <w:rPr>
          <w:color w:val="1f1f1f"/>
          <w:rtl w:val="0"/>
        </w:rPr>
        <w:t xml:space="preserve"> A </w:t>
      </w:r>
      <w:r w:rsidDel="00000000" w:rsidR="00000000" w:rsidRPr="00000000">
        <w:rPr>
          <w:b w:val="1"/>
          <w:bCs w:val="1"/>
          <w:color w:val="1f1f1f"/>
          <w:rtl w:val="0"/>
        </w:rPr>
        <w:t xml:space="preserve">20-case pilot</w:t>
      </w:r>
      <w:r w:rsidDel="00000000" w:rsidR="00000000" w:rsidRPr="00000000">
        <w:rPr>
          <w:color w:val="1f1f1f"/>
          <w:rtl w:val="0"/>
        </w:rPr>
        <w:t xml:space="preserve"> will be conducted to standardize the "First Vitals" rule (e.g., using the first recorded trauma bay vitals consistently).</w:t>
      </w:r>
    </w:p>
    <w:p w:rsidR="00000000" w:rsidDel="00000000" w:rsidP="00000000" w:rsidRDefault="00000000" w:rsidRPr="00000000" w14:paraId="000000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x3smw1fj53g" w:id="14"/>
      <w:bookmarkEnd w:id="14"/>
      <w:r w:rsidDel="00000000" w:rsidR="00000000" w:rsidRPr="00000000">
        <w:rPr>
          <w:b w:val="1"/>
          <w:bCs w:val="1"/>
          <w:color w:val="1f1f1f"/>
          <w:sz w:val="26"/>
          <w:szCs w:val="26"/>
          <w:rtl w:val="0"/>
        </w:rPr>
        <w:t xml:space="preserve">Statistical Analysis Plan</w:t>
      </w:r>
    </w:p>
    <w:p w:rsidR="00000000" w:rsidDel="00000000" w:rsidP="00000000" w:rsidRDefault="00000000" w:rsidRPr="00000000" w14:paraId="00000052">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Power and Sample Size:</w:t>
      </w:r>
      <w:r w:rsidDel="00000000" w:rsidR="00000000" w:rsidRPr="00000000">
        <w:rPr>
          <w:color w:val="1f1f1f"/>
          <w:rtl w:val="0"/>
        </w:rPr>
        <w:t xml:space="preserve"> A minimum of </w:t>
      </w:r>
      <w:r w:rsidDel="00000000" w:rsidR="00000000" w:rsidRPr="00000000">
        <w:rPr>
          <w:b w:val="1"/>
          <w:bCs w:val="1"/>
          <w:color w:val="1f1f1f"/>
          <w:rtl w:val="0"/>
        </w:rPr>
        <w:t xml:space="preserve">385 participants</w:t>
      </w:r>
      <w:r w:rsidDel="00000000" w:rsidR="00000000" w:rsidRPr="00000000">
        <w:rPr>
          <w:color w:val="1f1f1f"/>
          <w:rtl w:val="0"/>
        </w:rPr>
        <w:t xml:space="preserve"> is required to maintain a 95% Confidence Interval (CI) and a 5% margin of error. We will adhere to the </w:t>
      </w:r>
      <w:r w:rsidDel="00000000" w:rsidR="00000000" w:rsidRPr="00000000">
        <w:rPr>
          <w:b w:val="1"/>
          <w:bCs w:val="1"/>
          <w:color w:val="1f1f1f"/>
          <w:rtl w:val="0"/>
        </w:rPr>
        <w:t xml:space="preserve">10:1 Rule</w:t>
      </w:r>
      <w:r w:rsidDel="00000000" w:rsidR="00000000" w:rsidRPr="00000000">
        <w:rPr>
          <w:color w:val="1f1f1f"/>
          <w:rtl w:val="0"/>
        </w:rPr>
        <w:t xml:space="preserve">, ensuring 10 "mortality events" for every independent variable included in the regression model. Population Proportion is 50% and Population Size is Leaved blank.</w:t>
      </w:r>
    </w:p>
    <w:p w:rsidR="00000000" w:rsidDel="00000000" w:rsidP="00000000" w:rsidRDefault="00000000" w:rsidRPr="00000000" w14:paraId="00000053">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Primary Analysis:</w:t>
      </w:r>
      <w:r w:rsidDel="00000000" w:rsidR="00000000" w:rsidRPr="00000000">
        <w:rPr>
          <w:color w:val="1f1f1f"/>
          <w:rtl w:val="0"/>
        </w:rPr>
        <w:t xml:space="preserve"> * </w:t>
      </w:r>
      <w:r w:rsidDel="00000000" w:rsidR="00000000" w:rsidRPr="00000000">
        <w:rPr>
          <w:b w:val="1"/>
          <w:bCs w:val="1"/>
          <w:color w:val="1f1f1f"/>
          <w:rtl w:val="0"/>
        </w:rPr>
        <w:t xml:space="preserve">ROC Curve Analysis:</w:t>
      </w:r>
      <w:r w:rsidDel="00000000" w:rsidR="00000000" w:rsidRPr="00000000">
        <w:rPr>
          <w:color w:val="1f1f1f"/>
          <w:rtl w:val="0"/>
        </w:rPr>
        <w:t xml:space="preserve"> To identify the optimal "cut-off" points where SI and Lactate become significantly predictive of death.</w:t>
      </w:r>
    </w:p>
    <w:p w:rsidR="00000000" w:rsidDel="00000000" w:rsidP="00000000" w:rsidRDefault="00000000" w:rsidRPr="00000000" w14:paraId="00000054">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AUC (Area Under the Curve):</w:t>
      </w:r>
      <w:r w:rsidDel="00000000" w:rsidR="00000000" w:rsidRPr="00000000">
        <w:rPr>
          <w:color w:val="1f1f1f"/>
          <w:rtl w:val="0"/>
        </w:rPr>
        <w:t xml:space="preserve"> To compare the predictive "weight" of SI vs. Lactate vs. the </w:t>
      </w:r>
      <w:r w:rsidDel="00000000" w:rsidR="00000000" w:rsidRPr="00000000">
        <w:rPr>
          <w:b w:val="1"/>
          <w:bCs w:val="1"/>
          <w:color w:val="1f1f1f"/>
          <w:rtl w:val="0"/>
        </w:rPr>
        <w:t xml:space="preserve">Interaction Term</w:t>
      </w:r>
      <w:r w:rsidDel="00000000" w:rsidR="00000000" w:rsidRPr="00000000">
        <w:rPr>
          <w:color w:val="1f1f1f"/>
          <w:rtl w:val="0"/>
        </w:rPr>
        <w:t xml:space="preserve"> (SI x Lactate).</w:t>
      </w:r>
    </w:p>
    <w:p w:rsidR="00000000" w:rsidDel="00000000" w:rsidP="00000000" w:rsidRDefault="00000000" w:rsidRPr="00000000" w14:paraId="00000055">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Secondary Analysis:</w:t>
      </w:r>
      <w:r w:rsidDel="00000000" w:rsidR="00000000" w:rsidRPr="00000000">
        <w:rPr>
          <w:color w:val="1f1f1f"/>
          <w:rtl w:val="0"/>
        </w:rPr>
        <w:t xml:space="preserve"> * </w:t>
      </w:r>
      <w:r w:rsidDel="00000000" w:rsidR="00000000" w:rsidRPr="00000000">
        <w:rPr>
          <w:b w:val="1"/>
          <w:bCs w:val="1"/>
          <w:color w:val="1f1f1f"/>
          <w:rtl w:val="0"/>
        </w:rPr>
        <w:t xml:space="preserve">Multivariate Logistic Regression:</w:t>
      </w:r>
      <w:r w:rsidDel="00000000" w:rsidR="00000000" w:rsidRPr="00000000">
        <w:rPr>
          <w:color w:val="1f1f1f"/>
          <w:rtl w:val="0"/>
        </w:rPr>
        <w:t xml:space="preserve"> To calculate Odds Ratios (OR) for mortality, adjusted for Age, ISS, and Mechanism of Injury.</w:t>
      </w:r>
    </w:p>
    <w:p w:rsidR="00000000" w:rsidDel="00000000" w:rsidP="00000000" w:rsidRDefault="00000000" w:rsidRPr="00000000" w14:paraId="00000056">
      <w:pPr>
        <w:numPr>
          <w:ilvl w:val="1"/>
          <w:numId w:val="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Lactate Clearance:</w:t>
      </w:r>
      <w:r w:rsidDel="00000000" w:rsidR="00000000" w:rsidRPr="00000000">
        <w:rPr>
          <w:rFonts w:ascii="Arial Unicode MS" w:cs="Arial Unicode MS" w:eastAsia="Arial Unicode MS" w:hAnsi="Arial Unicode MS"/>
          <w:color w:val="1f1f1f"/>
          <w:rtl w:val="0"/>
        </w:rPr>
        <w:t xml:space="preserve"> Failure to clear lactate by ≥ 10% within 2 hours will be analyzed as a standalone predictor of 24-hour mortality.</w:t>
      </w:r>
    </w:p>
    <w:p w:rsidR="00000000" w:rsidDel="00000000" w:rsidP="00000000" w:rsidRDefault="00000000" w:rsidRPr="00000000" w14:paraId="000000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co3f6s07bpm" w:id="15"/>
      <w:bookmarkEnd w:id="15"/>
      <w:r w:rsidDel="00000000" w:rsidR="00000000" w:rsidRPr="00000000">
        <w:rPr>
          <w:b w:val="1"/>
          <w:bCs w:val="1"/>
          <w:color w:val="1f1f1f"/>
          <w:sz w:val="26"/>
          <w:szCs w:val="26"/>
          <w:rtl w:val="0"/>
        </w:rPr>
        <w:t xml:space="preserve">Ethics and Reporting</w:t>
      </w:r>
    </w:p>
    <w:p w:rsidR="00000000" w:rsidDel="00000000" w:rsidP="00000000" w:rsidRDefault="00000000" w:rsidRPr="00000000" w14:paraId="00000059">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Ethics: </w:t>
      </w:r>
      <w:r w:rsidDel="00000000" w:rsidR="00000000" w:rsidRPr="00000000">
        <w:rPr>
          <w:color w:val="1f1f1f"/>
          <w:rtl w:val="0"/>
        </w:rPr>
        <w:t xml:space="preserve">The study will be submitted to the Institutional Review Board (</w:t>
      </w:r>
      <w:r w:rsidDel="00000000" w:rsidR="00000000" w:rsidRPr="00000000">
        <w:rPr>
          <w:b w:val="1"/>
          <w:bCs w:val="1"/>
          <w:color w:val="1f1f1f"/>
          <w:rtl w:val="0"/>
        </w:rPr>
        <w:t xml:space="preserve">IRB</w:t>
      </w:r>
      <w:r w:rsidDel="00000000" w:rsidR="00000000" w:rsidRPr="00000000">
        <w:rPr>
          <w:color w:val="1f1f1f"/>
          <w:rtl w:val="0"/>
        </w:rPr>
        <w:t xml:space="preserve">) in Egypt with a formal request for a </w:t>
      </w:r>
      <w:r w:rsidDel="00000000" w:rsidR="00000000" w:rsidRPr="00000000">
        <w:rPr>
          <w:b w:val="1"/>
          <w:bCs w:val="1"/>
          <w:color w:val="1f1f1f"/>
          <w:rtl w:val="0"/>
        </w:rPr>
        <w:t xml:space="preserve">*Waiver of Informed Consent*. </w:t>
      </w:r>
      <w:r w:rsidDel="00000000" w:rsidR="00000000" w:rsidRPr="00000000">
        <w:rPr>
          <w:color w:val="1f1f1f"/>
          <w:rtl w:val="0"/>
        </w:rPr>
        <w:t xml:space="preserve">This request is justified by the observational, non‑interventional nature of the study and the critical condition of the participants, which makes prospective consent impracticable. All patient data will be anonymized and handled with strict confidentiality to ensure compliance with ethical and regulatory requirements.</w:t>
      </w:r>
    </w:p>
    <w:p w:rsidR="00000000" w:rsidDel="00000000" w:rsidP="00000000" w:rsidRDefault="00000000" w:rsidRPr="00000000" w14:paraId="0000005A">
      <w:pPr>
        <w:pBdr>
          <w:top w:space="0" w:sz="0" w:val="nil"/>
          <w:bottom w:space="0" w:sz="0" w:val="nil"/>
          <w:right w:space="0" w:sz="0" w:val="nil"/>
          <w:between w:space="0" w:sz="0" w:val="nil"/>
        </w:pBdr>
        <w:spacing w:after="360" w:lineRule="auto"/>
        <w:rPr>
          <w:color w:val="1f1f1f"/>
        </w:rPr>
      </w:pPr>
      <w:r w:rsidDel="00000000" w:rsidR="00000000" w:rsidRPr="00000000">
        <w:rPr>
          <w:rtl w:val="0"/>
        </w:rPr>
      </w:r>
    </w:p>
    <w:p w:rsidR="00000000" w:rsidDel="00000000" w:rsidP="00000000" w:rsidRDefault="00000000" w:rsidRPr="00000000" w14:paraId="0000005B">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Standards: </w:t>
      </w:r>
      <w:r w:rsidDel="00000000" w:rsidR="00000000" w:rsidRPr="00000000">
        <w:rPr>
          <w:color w:val="1f1f1f"/>
          <w:rtl w:val="0"/>
        </w:rPr>
        <w:t xml:space="preserve">Reporting will adhere rigorously to the *STROBE Checklist* for observational studies. Each item will be addressed systematically to guarantee transparency, reproducibility, and alignment with international publication standards.</w:t>
      </w:r>
    </w:p>
    <w:p w:rsidR="00000000" w:rsidDel="00000000" w:rsidP="00000000" w:rsidRDefault="00000000" w:rsidRPr="00000000" w14:paraId="0000005C">
      <w:pPr>
        <w:pBdr>
          <w:top w:space="0" w:sz="0" w:val="nil"/>
          <w:bottom w:space="0" w:sz="0" w:val="nil"/>
          <w:right w:space="0" w:sz="0" w:val="nil"/>
          <w:between w:space="0" w:sz="0" w:val="nil"/>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5D">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Integrity: </w:t>
      </w:r>
      <w:r w:rsidDel="00000000" w:rsidR="00000000" w:rsidRPr="00000000">
        <w:rPr>
          <w:color w:val="1f1f1f"/>
          <w:rtl w:val="0"/>
        </w:rPr>
        <w:t xml:space="preserve">To safeguard methodological validity, we will proactively screen for *Immortal Time Bias*. Specifically, “time‑to‑lactate” will not be used as a predictor variable if its measurement required the patient to survive long enough to receive the test. Instead, lactate clearance will be analyzed using prespecified landmark windows, ensuring unbiased assessment of its predictive value.</w:t>
      </w:r>
    </w:p>
    <w:p w:rsidR="00000000" w:rsidDel="00000000" w:rsidP="00000000" w:rsidRDefault="00000000" w:rsidRPr="00000000" w14:paraId="0000005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color w:val="1f1f1f"/>
        </w:rPr>
      </w:pPr>
      <w:r w:rsidDel="00000000" w:rsidR="00000000" w:rsidRPr="00000000">
        <w:rPr>
          <w:rtl w:val="0"/>
        </w:rPr>
      </w:r>
    </w:p>
    <w:p w:rsidR="00000000" w:rsidDel="00000000" w:rsidP="00000000" w:rsidRDefault="00000000" w:rsidRPr="00000000" w14:paraId="0000006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color w:val="1f1f1f"/>
          <w:sz w:val="34"/>
          <w:szCs w:val="34"/>
        </w:rPr>
      </w:pPr>
      <w:bookmarkStart w:colFirst="0" w:colLast="0" w:name="_j2ryewip0i6l" w:id="16"/>
      <w:bookmarkEnd w:id="16"/>
      <w:r w:rsidDel="00000000" w:rsidR="00000000" w:rsidRPr="00000000">
        <w:rPr>
          <w:b w:val="1"/>
          <w:bCs w:val="1"/>
          <w:color w:val="1f1f1f"/>
          <w:sz w:val="34"/>
          <w:szCs w:val="34"/>
          <w:rtl w:val="0"/>
        </w:rPr>
        <w:t xml:space="preserve">References</w:t>
      </w:r>
    </w:p>
    <w:p w:rsidR="00000000" w:rsidDel="00000000" w:rsidP="00000000" w:rsidRDefault="00000000" w:rsidRPr="00000000" w14:paraId="00000062">
      <w:pPr>
        <w:numPr>
          <w:ilvl w:val="0"/>
          <w:numId w:val="6"/>
        </w:numPr>
        <w:spacing w:after="0" w:afterAutospacing="0" w:before="240" w:lineRule="auto"/>
        <w:ind w:left="720" w:hanging="360"/>
        <w:rPr>
          <w:color w:val="1f1f1f"/>
        </w:rPr>
      </w:pPr>
      <w:r w:rsidDel="00000000" w:rsidR="00000000" w:rsidRPr="00000000">
        <w:rPr>
          <w:b w:val="1"/>
          <w:bCs w:val="1"/>
          <w:color w:val="1f1f1f"/>
          <w:rtl w:val="0"/>
        </w:rPr>
        <w:t xml:space="preserve">Kim SY, Hong KJ, Shin SD, et al.</w:t>
      </w:r>
      <w:r w:rsidDel="00000000" w:rsidR="00000000" w:rsidRPr="00000000">
        <w:rPr>
          <w:color w:val="1f1f1f"/>
          <w:rtl w:val="0"/>
        </w:rPr>
        <w:t xml:space="preserve"> Validation of the Shock Index, Modified Shock Index, and Age Shock Index for Predicting Mortality of Geriatric Trauma Patients. </w:t>
      </w:r>
      <w:r w:rsidDel="00000000" w:rsidR="00000000" w:rsidRPr="00000000">
        <w:rPr>
          <w:i w:val="1"/>
          <w:iCs w:val="1"/>
          <w:color w:val="1f1f1f"/>
          <w:rtl w:val="0"/>
        </w:rPr>
        <w:t xml:space="preserve">J Korean Med Sci</w:t>
      </w:r>
      <w:r w:rsidDel="00000000" w:rsidR="00000000" w:rsidRPr="00000000">
        <w:rPr>
          <w:color w:val="1f1f1f"/>
          <w:rtl w:val="0"/>
        </w:rPr>
        <w:t xml:space="preserve">. 2016;31(12):2031-2040. doi:10.3346/jkms.2016.31.12.2031</w:t>
      </w:r>
    </w:p>
    <w:p w:rsidR="00000000" w:rsidDel="00000000" w:rsidP="00000000" w:rsidRDefault="00000000" w:rsidRPr="00000000" w14:paraId="00000063">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Altunbaş G, Ömercikoğlu H.</w:t>
      </w:r>
      <w:r w:rsidDel="00000000" w:rsidR="00000000" w:rsidRPr="00000000">
        <w:rPr>
          <w:color w:val="1f1f1f"/>
          <w:rtl w:val="0"/>
        </w:rPr>
        <w:t xml:space="preserve"> Prognostic value of 2-hour lactate level and lactate clearance for 30-day mortality in multi-trauma patients. </w:t>
      </w:r>
      <w:r w:rsidDel="00000000" w:rsidR="00000000" w:rsidRPr="00000000">
        <w:rPr>
          <w:i w:val="1"/>
          <w:iCs w:val="1"/>
          <w:color w:val="1f1f1f"/>
          <w:rtl w:val="0"/>
        </w:rPr>
        <w:t xml:space="preserve">Turk J Emerg Med</w:t>
      </w:r>
      <w:r w:rsidDel="00000000" w:rsidR="00000000" w:rsidRPr="00000000">
        <w:rPr>
          <w:color w:val="1f1f1f"/>
          <w:rtl w:val="0"/>
        </w:rPr>
        <w:t xml:space="preserve">. 2018;18(2):60-65. doi:10.1016/j.tjem.2018.04.001</w:t>
      </w:r>
    </w:p>
    <w:p w:rsidR="00000000" w:rsidDel="00000000" w:rsidP="00000000" w:rsidRDefault="00000000" w:rsidRPr="00000000" w14:paraId="00000064">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Montoya M, et al.</w:t>
      </w:r>
      <w:r w:rsidDel="00000000" w:rsidR="00000000" w:rsidRPr="00000000">
        <w:rPr>
          <w:color w:val="1f1f1f"/>
          <w:rtl w:val="0"/>
        </w:rPr>
        <w:t xml:space="preserve"> Base deficit, lactate clearance, and shock index as predictors of morbidity and mortality in multiple-trauma patients. </w:t>
      </w:r>
      <w:r w:rsidDel="00000000" w:rsidR="00000000" w:rsidRPr="00000000">
        <w:rPr>
          <w:i w:val="1"/>
          <w:iCs w:val="1"/>
          <w:color w:val="1f1f1f"/>
          <w:rtl w:val="0"/>
        </w:rPr>
        <w:t xml:space="preserve">Rev Colomb Anestesiol</w:t>
      </w:r>
      <w:r w:rsidDel="00000000" w:rsidR="00000000" w:rsidRPr="00000000">
        <w:rPr>
          <w:color w:val="1f1f1f"/>
          <w:rtl w:val="0"/>
        </w:rPr>
        <w:t xml:space="preserve">. 2018;46(3):208-215. doi:10.1097/CJ9.0000000000000057</w:t>
      </w:r>
    </w:p>
    <w:p w:rsidR="00000000" w:rsidDel="00000000" w:rsidP="00000000" w:rsidRDefault="00000000" w:rsidRPr="00000000" w14:paraId="00000065">
      <w:pPr>
        <w:numPr>
          <w:ilvl w:val="0"/>
          <w:numId w:val="6"/>
        </w:numPr>
        <w:spacing w:after="0" w:afterAutospacing="0" w:before="0" w:beforeAutospacing="0" w:lineRule="auto"/>
        <w:ind w:left="720" w:hanging="360"/>
        <w:rPr>
          <w:color w:val="1f1f1f"/>
        </w:rPr>
      </w:pPr>
      <w:r w:rsidDel="00000000" w:rsidR="00000000" w:rsidRPr="00000000">
        <w:rPr>
          <w:b w:val="1"/>
          <w:bCs w:val="1"/>
          <w:color w:val="1f1f1f"/>
          <w:rtl w:val="0"/>
        </w:rPr>
        <w:t xml:space="preserve">El-Sayed AM, et al.</w:t>
      </w:r>
      <w:r w:rsidDel="00000000" w:rsidR="00000000" w:rsidRPr="00000000">
        <w:rPr>
          <w:color w:val="1f1f1f"/>
          <w:rtl w:val="0"/>
        </w:rPr>
        <w:t xml:space="preserve"> Lactate Clearance Vs Revised Trauma Score in Triage Management of Polytrauma Patients at Emergency Department. </w:t>
      </w:r>
      <w:r w:rsidDel="00000000" w:rsidR="00000000" w:rsidRPr="00000000">
        <w:rPr>
          <w:i w:val="1"/>
          <w:iCs w:val="1"/>
          <w:color w:val="1f1f1f"/>
          <w:rtl w:val="0"/>
        </w:rPr>
        <w:t xml:space="preserve">Egypt J Hosp Med</w:t>
      </w:r>
      <w:r w:rsidDel="00000000" w:rsidR="00000000" w:rsidRPr="00000000">
        <w:rPr>
          <w:color w:val="1f1f1f"/>
          <w:rtl w:val="0"/>
        </w:rPr>
        <w:t xml:space="preserve">. 2021;83(1):1068-1074. doi:10.21608/ejhm.2021.157434</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b w:val="1"/>
          <w:bCs w:val="1"/>
          <w:color w:val="1f1f1f"/>
          <w:rtl w:val="0"/>
        </w:rPr>
        <w:t xml:space="preserve">Kocatürk H, et al.</w:t>
      </w:r>
      <w:r w:rsidDel="00000000" w:rsidR="00000000" w:rsidRPr="00000000">
        <w:rPr>
          <w:color w:val="1f1f1f"/>
          <w:rtl w:val="0"/>
        </w:rPr>
        <w:t xml:space="preserve"> The value of combined shock index and lactate level in predicting mortality in trauma patients: A retrospective study. </w:t>
      </w:r>
      <w:r w:rsidDel="00000000" w:rsidR="00000000" w:rsidRPr="00000000">
        <w:rPr>
          <w:i w:val="1"/>
          <w:iCs w:val="1"/>
          <w:color w:val="1f1f1f"/>
          <w:rtl w:val="0"/>
        </w:rPr>
        <w:t xml:space="preserve">Am J Emerg Med</w:t>
      </w:r>
      <w:r w:rsidDel="00000000" w:rsidR="00000000" w:rsidRPr="00000000">
        <w:rPr>
          <w:color w:val="1f1f1f"/>
          <w:rtl w:val="0"/>
        </w:rPr>
        <w:t xml:space="preserve">. 2022;58:210-215. doi:10.1016/j.ajem.2022.06.015</w:t>
      </w:r>
    </w:p>
    <w:p w:rsidR="00000000" w:rsidDel="00000000" w:rsidP="00000000" w:rsidRDefault="00000000" w:rsidRPr="00000000" w14:paraId="00000067">
      <w:pPr>
        <w:spacing w:after="240" w:before="240" w:lineRule="auto"/>
        <w:ind w:left="720" w:firstLine="0"/>
        <w:rPr>
          <w:color w:val="1f1f1f"/>
        </w:rPr>
      </w:pPr>
      <w:r w:rsidDel="00000000" w:rsidR="00000000" w:rsidRPr="00000000">
        <w:rPr>
          <w:rtl w:val="0"/>
        </w:rPr>
      </w:r>
    </w:p>
    <w:p w:rsidR="00000000" w:rsidDel="00000000" w:rsidP="00000000" w:rsidRDefault="00000000" w:rsidRPr="00000000" w14:paraId="00000068">
      <w:pPr>
        <w:rPr>
          <w:color w:val="1f1f1f"/>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