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4.317016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Hassnaa aAbdelhady Hassan Aly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935546875" w:line="240" w:lineRule="auto"/>
        <w:ind w:left="0" w:right="3277.11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00000063578288"/>
          <w:szCs w:val="26.00000063578288"/>
          <w:u w:val="none"/>
          <w:shd w:fill="auto" w:val="clear"/>
          <w:vertAlign w:val="superscript"/>
          <w:rtl w:val="0"/>
        </w:rPr>
        <w:t xml:space="preserv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4.960021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intern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0" w:right="2965.101928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01143088989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1160.3564453125" w:firstLine="0"/>
        <w:jc w:val="righ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Hassnaa311gmail.com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0" w:right="2487.5085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WAVE ONE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29.90779876708984" w:lineRule="auto"/>
        <w:ind w:left="2326.7999267578125" w:right="1258.714599609375" w:hanging="217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protocol for a CASE-CONTROL study to show the effect of mode of deliveryondeveloping post- partum in depression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0.40008544921875" w:right="740.302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protocol for a case-control study on the effect of mode of delivery on developingpost partum depression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1474609375" w:line="240" w:lineRule="auto"/>
        <w:ind w:left="2.40005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327.537841796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Background:Although post partum depression is one of the commonest post partumdiseases worldwide that has a great impact on the interaction btween the mother andthe infants as well as the long term cognitive and emotional development of infants,it isn’t istablished yet whether the mode of delivery has an effect on developing post partum depression.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801334381104" w:lineRule="auto"/>
        <w:ind w:left="0" w:right="373.1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Objective:This study aims to find whether the mode of delivery affects the development of post partum depression within 6 months of delivery. Methods:We conducted a matched retrospective case-control study for 300 post-partum women in al demerdash hopitals,Egypt.Covering deliveries fromjanuary2025 to october 2025.Cases included women aged 18-45 diagnosed with PPDwithin6 months post-partum based on the EPDS criteria.Controls were women who delivered in the same period.without psychiatric diagnoses, matched 2:1 by age, parity, and delivery mode.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400115966796875" w:right="238.75610351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PPD assessed by EPDS where a scale of 13 or higher indicates high likelihood of depression and score of 10-12 suggests mild symptoms.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-Independent variables: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 of delivery including: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28.5600280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Spontaneous vaginal delivery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Instrumental vaginal delivery (vacuum/forceps)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Elective Cesarean Section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Emergency Cesarean Section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95556640625" w:line="240" w:lineRule="auto"/>
        <w:ind w:left="9.120025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Confounders and effect modifiers including: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1020507812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-sociodemographic factors 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28.5600280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maternal age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weight(BMI)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education level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employment status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10205078125" w:line="240" w:lineRule="auto"/>
        <w:ind w:left="11.9999694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household income.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-Obstetric factors as: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400390625" w:line="240" w:lineRule="auto"/>
        <w:ind w:left="28.5600280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Parity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pregnancy planning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delivery experience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829944610596" w:lineRule="auto"/>
        <w:ind w:left="0" w:right="181.1291503906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complications as:(preeclampsia/eclampsia, gestational diabetes mellitus (GDM), postpartum hemorrhage, preterm birth, placental abruption, intrauterine growth restriction (IUGR) and chorioamnionitis).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-Neonatal factors 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28.5600280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gestational 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NICU admission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method of feeding.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29.90829944610596" w:lineRule="auto"/>
        <w:ind w:left="0" w:right="406.7504882812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Bias:Response bias was addressed by making sure the cases are following in a psychiatric clinic and willing to participate to minimize the risk of having patients that alter their responses due to social stigma of psychological patients in arab countries.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1171875" w:line="229.90779876708984" w:lineRule="auto"/>
        <w:ind w:left="1.920013427734375" w:right="-5.99975585937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size:The study size needed was 269 and we inflated it to have 300 participants with a ratio of 2:1 controls to cases (200 controls to 100 cases) with a confidence level=95%,alpha=0.05 and power=0.8.</w:t>
      </w:r>
    </w:p>
    <w:sectPr>
      <w:pgSz w:h="16820" w:w="11900" w:orient="portrait"/>
      <w:pgMar w:bottom="2576.199951171875" w:top="1424.1796875" w:left="1799.5199584960938" w:right="42.89794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