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wg9hm5r6qkl4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Genetic Architecture of Early-Onset Alzheimer’s Disease (EOAD)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h2d6pnuw78z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rji6i8sxwwb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Title and Abstract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Synergistic Predictive Value of Rare Variants and Path-Specific Polygenic Risk Scores in Early-Onset Alzheimer’s Disease: A Multicenter Case-Control Study.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Abstract: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Early-Onset Alzheimer’s Disease (EOAD), defined as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onset before age 65</w:t>
      </w:r>
      <w:r w:rsidDel="00000000" w:rsidR="00000000" w:rsidRPr="00000000">
        <w:rPr>
          <w:color w:val="1f1f1f"/>
          <w:rtl w:val="0"/>
        </w:rPr>
        <w:t xml:space="preserve">, is highly heritable yet marked by substantial “missing heritability” beyond the established Mendelian mutations in APP, PSEN1, and PSEN2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(Nicolas et al., 2022)</w:t>
      </w:r>
      <w:r w:rsidDel="00000000" w:rsidR="00000000" w:rsidRPr="00000000">
        <w:rPr>
          <w:color w:val="1f1f1f"/>
          <w:rtl w:val="0"/>
        </w:rPr>
        <w:t xml:space="preserve">. This study investigates the 'Double Hit' hypothesis: that EOAD is often driven by a combination of rare variants in genes like SORL1 or TREM2 acting in concert with a high background of common risk alleles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(Lali et al., 2026)</w:t>
      </w:r>
      <w:r w:rsidDel="00000000" w:rsidR="00000000" w:rsidRPr="00000000">
        <w:rPr>
          <w:color w:val="1f1f1f"/>
          <w:rtl w:val="0"/>
        </w:rPr>
        <w:t xml:space="preserve">. This multicenter case-control study is designed to investigate the interplay between rare high-penetrance variants and common polygenic risk.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total of 250 EOAD cases (ages 30–64 at onset) and 500 cognitively healthy super-senior controls (≥75 years)</w:t>
      </w:r>
      <w:r w:rsidDel="00000000" w:rsidR="00000000" w:rsidRPr="00000000">
        <w:rPr>
          <w:color w:val="1f1f1f"/>
          <w:rtl w:val="0"/>
        </w:rPr>
        <w:t xml:space="preserve"> will be enrolled. Whole Exome Sequencing (WES) and a 2026-standardized Polygenic Risk Score (PRS) will be employed to capture genetic variation. The primary objective is to determine whether a synergistic model combining rare variants and PRS ( 𝑅𝑎𝑟𝑒 × 𝑃𝑅𝑆 ) achieves superior predictive accuracy, measured by area under the curve (AUC), compared to traditional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APOE</w:t>
      </w:r>
      <w:r w:rsidDel="00000000" w:rsidR="00000000" w:rsidRPr="00000000">
        <w:rPr>
          <w:color w:val="1f1f1f"/>
          <w:rtl w:val="0"/>
        </w:rPr>
        <w:t xml:space="preserve"> genotyping alone.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mjb4qfyrxjm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Introduction and Rationale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"Occult Genetic Risk" in EOAD represents a critical gap in precision neurology. While deterministic mutations are well-studied, many EOAD patients lack these markers despite a strong family history. This study investigates the "Double Hit" hypothesis: that EOAD is often driven by a combination of rare, damaging variants in genes like SORL1 or TREM2  acting in concert with a high background of common risk alleles.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x4yt91ib5k5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Methods and Study Design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Study Design:</w:t>
      </w:r>
      <w:r w:rsidDel="00000000" w:rsidR="00000000" w:rsidRPr="00000000">
        <w:rPr>
          <w:color w:val="1f1f1f"/>
          <w:rtl w:val="0"/>
        </w:rPr>
        <w:t xml:space="preserve"> Multicenter, Prospective Case-Control Study.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0t73ehfev6b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Logistics Multicenter Coordination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minimize site effects and ensure uniform data across participating hospitals, the following logistical framework will be implemented.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 Site Responsibilities:</w:t>
      </w:r>
      <w:r w:rsidDel="00000000" w:rsidR="00000000" w:rsidRPr="00000000">
        <w:rPr>
          <w:color w:val="1f1f1f"/>
          <w:rtl w:val="0"/>
        </w:rPr>
        <w:t xml:space="preserve"> A central coordinating center will manage IRB renewals, distribute the Manual of Procedures (MOP), and convene monthly investigator meetings.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Site Initiation Visits (SIV):</w:t>
      </w:r>
      <w:r w:rsidDel="00000000" w:rsidR="00000000" w:rsidRPr="00000000">
        <w:rPr>
          <w:color w:val="1f1f1f"/>
          <w:rtl w:val="0"/>
        </w:rPr>
        <w:t xml:space="preserve"> Each site will undergo a formal SIV before enrollment begins to calibrate neuropsychological testing (MMSE) and standardize blood-collection procedures.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Centralized Biobanking:</w:t>
      </w:r>
      <w:r w:rsidDel="00000000" w:rsidR="00000000" w:rsidRPr="00000000">
        <w:rPr>
          <w:color w:val="1f1f1f"/>
          <w:rtl w:val="0"/>
        </w:rPr>
        <w:t xml:space="preserve"> Blood will be collected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 mL EDTA tubes</w:t>
      </w:r>
      <w:r w:rsidDel="00000000" w:rsidR="00000000" w:rsidRPr="00000000">
        <w:rPr>
          <w:color w:val="1f1f1f"/>
          <w:rtl w:val="0"/>
        </w:rPr>
        <w:t xml:space="preserve"> at each site. Samples must be centrifuged and aliquoted within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two hours</w:t>
      </w:r>
      <w:r w:rsidDel="00000000" w:rsidR="00000000" w:rsidRPr="00000000">
        <w:rPr>
          <w:color w:val="1f1f1f"/>
          <w:rtl w:val="0"/>
        </w:rPr>
        <w:t xml:space="preserve"> of collection. Aliquots will be stored locally at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−80°C</w:t>
      </w:r>
      <w:r w:rsidDel="00000000" w:rsidR="00000000" w:rsidRPr="00000000">
        <w:rPr>
          <w:color w:val="1f1f1f"/>
          <w:rtl w:val="0"/>
        </w:rPr>
        <w:t xml:space="preserve"> and shipped quarterly on dry ice to the central genomic core to preserve DNA integrity and A260/280 ratio stability.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Equipment Standardization:</w:t>
      </w:r>
      <w:r w:rsidDel="00000000" w:rsidR="00000000" w:rsidRPr="00000000">
        <w:rPr>
          <w:color w:val="1f1f1f"/>
          <w:rtl w:val="0"/>
        </w:rPr>
        <w:t xml:space="preserve"> All sites must use identical point-of-care kits for initial processing to avoid batch variation in DNA yield.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b0qlud608pn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Participant Selection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Inclusion (Cases):</w:t>
      </w:r>
      <w:r w:rsidDel="00000000" w:rsidR="00000000" w:rsidRPr="00000000">
        <w:rPr>
          <w:color w:val="1f1f1f"/>
          <w:rtl w:val="0"/>
        </w:rPr>
        <w:t xml:space="preserve"> adults aged 30 to 64 years who meet the NIA-AA 2026 criteria for " Probable Alzheimer’s Disease (AD) " with mandatory biological confirmation (Jack et al., 2024) through either a positive amyloid-PET scan or a CSF 𝐴𝛽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42</w:t>
      </w:r>
      <w:r w:rsidDel="00000000" w:rsidR="00000000" w:rsidRPr="00000000">
        <w:rPr>
          <w:color w:val="1f1f1f"/>
          <w:rtl w:val="0"/>
        </w:rPr>
        <w:t xml:space="preserve"> / 𝑝-𝑇𝑎𝑢 ratio.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Inclusion (Controls):</w:t>
      </w:r>
      <w:r w:rsidDel="00000000" w:rsidR="00000000" w:rsidRPr="00000000">
        <w:rPr>
          <w:color w:val="1f1f1f"/>
          <w:rtl w:val="0"/>
        </w:rPr>
        <w:t xml:space="preserve"> adults aged 75 years or older, ensuring that they have surpassed the early-onset AD risk window without developing symptoms, and must demonstrate a Mini-Mental State Examination (MMSE) score of at least 27.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cognitively healthy super-senior controls (≥75 years) ensuring they represent a phenotype of genetic resilience </w:t>
      </w:r>
      <w:r w:rsidDel="00000000" w:rsidR="00000000" w:rsidRPr="00000000">
        <w:rPr>
          <w:b w:val="1"/>
          <w:bCs w:val="1"/>
          <w:rtl w:val="0"/>
        </w:rPr>
        <w:t xml:space="preserve">(Gaynor et al., 2026)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Exclusion </w:t>
      </w:r>
      <w:r w:rsidDel="00000000" w:rsidR="00000000" w:rsidRPr="00000000">
        <w:rPr>
          <w:color w:val="1f1f1f"/>
          <w:rtl w:val="0"/>
        </w:rPr>
        <w:t xml:space="preserve">criteria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 Trisomy 21 (Down Syndrome), a history of severe traumatic brain injury (TBI), chronic alcohol abuse, or phenocopies such as Frontotemporal Dementia (FTD), confirmed via neuroimaging.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b339ylp2mq6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Data Collection (eCRF) &amp; Variable Definition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 Onset:</w:t>
      </w:r>
      <w:r w:rsidDel="00000000" w:rsidR="00000000" w:rsidRPr="00000000">
        <w:rPr>
          <w:color w:val="1f1f1f"/>
          <w:rtl w:val="0"/>
        </w:rPr>
        <w:t xml:space="preserve"> Defined as the age of the first caregiver-reported cognitive or behavioral symptom.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Pedigree Mapping:</w:t>
      </w:r>
      <w:r w:rsidDel="00000000" w:rsidR="00000000" w:rsidRPr="00000000">
        <w:rPr>
          <w:color w:val="1f1f1f"/>
          <w:rtl w:val="0"/>
        </w:rPr>
        <w:t xml:space="preserve"> A standardized 3-generation pedigree to categorize cases as Autosomal Dominant (3 generations), Familial (2 generations), or Sporadic.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Phenotypic Variants:</w:t>
      </w:r>
      <w:r w:rsidDel="00000000" w:rsidR="00000000" w:rsidRPr="00000000">
        <w:rPr>
          <w:color w:val="1f1f1f"/>
          <w:rtl w:val="0"/>
        </w:rPr>
        <w:t xml:space="preserve"> Classification into Amnestic vs. Non-amnestic (e.g., Posterior Cortical Atrophy or Logopenic Aphasia).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Covariates:</w:t>
      </w:r>
      <w:r w:rsidDel="00000000" w:rsidR="00000000" w:rsidRPr="00000000">
        <w:rPr>
          <w:color w:val="1f1f1f"/>
          <w:rtl w:val="0"/>
        </w:rPr>
        <w:t xml:space="preserve"> Years of education (cognitive reserve), sex, and vascular risk factors.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et2omn0zgi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3.3 Laboratory &amp; Genomic Protocol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Sampling:</w:t>
      </w:r>
      <w:r w:rsidDel="00000000" w:rsidR="00000000" w:rsidRPr="00000000">
        <w:rPr>
          <w:color w:val="1f1f1f"/>
          <w:rtl w:val="0"/>
        </w:rPr>
        <w:t xml:space="preserve"> 10 mL whole blood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EDTA-stabilized tubes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Wet Lab Quality:</w:t>
      </w:r>
      <w:r w:rsidDel="00000000" w:rsidR="00000000" w:rsidRPr="00000000">
        <w:rPr>
          <w:color w:val="1f1f1f"/>
          <w:rtl w:val="0"/>
        </w:rPr>
        <w:t xml:space="preserve"> DNA purity verified via Qubit fluorometry (A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260</w:t>
      </w:r>
      <w:r w:rsidDel="00000000" w:rsidR="00000000" w:rsidRPr="00000000">
        <w:rPr>
          <w:color w:val="1f1f1f"/>
          <w:rtl w:val="0"/>
        </w:rPr>
        <w:t xml:space="preserve">/280 ratio target: 1.8–2.0).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Sequencing Pipeline: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1:</w:t>
      </w:r>
      <w:r w:rsidDel="00000000" w:rsidR="00000000" w:rsidRPr="00000000">
        <w:rPr>
          <w:color w:val="1f1f1f"/>
          <w:rtl w:val="0"/>
        </w:rPr>
        <w:t xml:space="preserve"> Targeted panel for APP, PSEN1, PSEN2.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2:</w:t>
      </w:r>
      <w:r w:rsidDel="00000000" w:rsidR="00000000" w:rsidRPr="00000000">
        <w:rPr>
          <w:color w:val="1f1f1f"/>
          <w:rtl w:val="0"/>
        </w:rPr>
        <w:t xml:space="preserve"> Whole Exome Sequencing (WES) (mean depth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≥</w:t>
      </w:r>
      <w:r w:rsidDel="00000000" w:rsidR="00000000" w:rsidRPr="00000000">
        <w:rPr>
          <w:color w:val="1f1f1f"/>
          <w:rtl w:val="0"/>
        </w:rPr>
        <w:t xml:space="preserve"> 100x).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3: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Apolipoprotein E (APOE) gene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ε2, ε3, and ε4.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color w:val="1f1f1f"/>
          <w:rtl w:val="0"/>
        </w:rPr>
        <w:t xml:space="preserve"> All novel variants identified by NGS must be validated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Sanger Sequencing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tvnik7u5o15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Statistical Analysis Plan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Size:</w:t>
      </w:r>
      <w:r w:rsidDel="00000000" w:rsidR="00000000" w:rsidRPr="00000000">
        <w:rPr>
          <w:color w:val="1f1f1f"/>
          <w:rtl w:val="0"/>
        </w:rPr>
        <w:t xml:space="preserve"> A minimum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250 Cases and 500 Controls</w:t>
      </w:r>
      <w:r w:rsidDel="00000000" w:rsidR="00000000" w:rsidRPr="00000000">
        <w:rPr>
          <w:color w:val="1f1f1f"/>
          <w:rtl w:val="0"/>
        </w:rPr>
        <w:t xml:space="preserve"> is required to maintain a 95% Confidence Interval (CI) and 80% power to detect risk variants with an (𝑂𝑅 ≥ 2.0).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1a7bi66e2zi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Primary Analysis: The Synergy Model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test the interaction between rare variants and polygenic burden, we will use Multivariate Logistic Regression: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Logit ( 𝑃 ) = 𝛽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0</w:t>
      </w:r>
      <w:r w:rsidDel="00000000" w:rsidR="00000000" w:rsidRPr="00000000">
        <w:rPr>
          <w:color w:val="1f1f1f"/>
          <w:rtl w:val="0"/>
        </w:rPr>
        <w:t xml:space="preserve"> + 𝛽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 ( Rare Variant ) + 𝛽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2</w:t>
      </w:r>
      <w:r w:rsidDel="00000000" w:rsidR="00000000" w:rsidRPr="00000000">
        <w:rPr>
          <w:color w:val="1f1f1f"/>
          <w:rtl w:val="0"/>
        </w:rPr>
        <w:t xml:space="preserve"> ( Polygenic Risk Score, PRS ) + 𝛽</w:t>
      </w:r>
      <w:r w:rsidDel="00000000" w:rsidR="00000000" w:rsidRPr="00000000">
        <w:rPr>
          <w:color w:val="1f1f1f"/>
          <w:sz w:val="16"/>
          <w:szCs w:val="16"/>
          <w:rtl w:val="0"/>
        </w:rPr>
        <w:t xml:space="preserve">3</w:t>
      </w:r>
      <w:r w:rsidDel="00000000" w:rsidR="00000000" w:rsidRPr="00000000">
        <w:rPr>
          <w:color w:val="1f1f1f"/>
          <w:rtl w:val="0"/>
        </w:rPr>
        <w:t xml:space="preserve"> ( Rare Variant × PRS ) + Covariates 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ff7dzzb3lfe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Secondary Analysis: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ROC Curve Analysis:</w:t>
      </w:r>
      <w:r w:rsidDel="00000000" w:rsidR="00000000" w:rsidRPr="00000000">
        <w:rPr>
          <w:color w:val="1f1f1f"/>
          <w:rtl w:val="0"/>
        </w:rPr>
        <w:t xml:space="preserve"> Comparing the AUC of APOE alone vs. the Synergistic (Rare + PRS) Model, targeting the predictive benchmarks established in recent large-scale cohorts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(Bellou et al., 2025)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Population Stratification:</w:t>
      </w:r>
      <w:r w:rsidDel="00000000" w:rsidR="00000000" w:rsidRPr="00000000">
        <w:rPr>
          <w:color w:val="1f1f1f"/>
          <w:rtl w:val="0"/>
        </w:rPr>
        <w:t xml:space="preserve"> Principal Component Analysis (PCA) to ensure cases and controls are ancestrally matched, avoiding false-positive associations.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Multiple Testing:</w:t>
      </w:r>
      <w:r w:rsidDel="00000000" w:rsidR="00000000" w:rsidRPr="00000000">
        <w:rPr>
          <w:color w:val="1f1f1f"/>
          <w:rtl w:val="0"/>
        </w:rPr>
        <w:t xml:space="preserve"> Bonferroni or False Discovery Rate (FDR) correction for all variant-level analyses.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bvaqls5tuf3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Feasibility Recruitment and Milestones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feasibility analysis confirms the study’s ability to reach the target sample size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 = 750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Enrollment Targets: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Cases (n = 250):</w:t>
      </w:r>
      <w:r w:rsidDel="00000000" w:rsidR="00000000" w:rsidRPr="00000000">
        <w:rPr>
          <w:color w:val="1f1f1f"/>
          <w:rtl w:val="0"/>
        </w:rPr>
        <w:t xml:space="preserve"> Distributed across five sites (50 cases per site). With an average of 4–5 new EOAD diagnoses per center per month, recruitment is projected to take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12–15 months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Controls (n = 500):</w:t>
      </w:r>
      <w:r w:rsidDel="00000000" w:rsidR="00000000" w:rsidRPr="00000000">
        <w:rPr>
          <w:color w:val="1f1f1f"/>
          <w:rtl w:val="0"/>
        </w:rPr>
        <w:t xml:space="preserve"> Sourced from “Super-Senior” community cohorts and geriatric outpatient clinics; a 2:1 control-to-case ratio is used to maximize power for rare-variant detection.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Attrition Buffer:</w:t>
      </w:r>
      <w:r w:rsidDel="00000000" w:rsidR="00000000" w:rsidRPr="00000000">
        <w:rPr>
          <w:color w:val="1f1f1f"/>
          <w:rtl w:val="0"/>
        </w:rPr>
        <w:t xml:space="preserve"> A 10% over-recruitment target (total N = 825) accounts for samples that fail quality control (for example, low DNA concentration or sequencing artifacts).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Months 1–3:</w:t>
      </w:r>
      <w:r w:rsidDel="00000000" w:rsidR="00000000" w:rsidRPr="00000000">
        <w:rPr>
          <w:color w:val="1f1f1f"/>
          <w:rtl w:val="0"/>
        </w:rPr>
        <w:t xml:space="preserve"> IRB approvals and site initiation.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Months 4–18:</w:t>
      </w:r>
      <w:r w:rsidDel="00000000" w:rsidR="00000000" w:rsidRPr="00000000">
        <w:rPr>
          <w:color w:val="1f1f1f"/>
          <w:rtl w:val="0"/>
        </w:rPr>
        <w:t xml:space="preserve"> Active recruitment and biobanking.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Months 19–22:</w:t>
      </w:r>
      <w:r w:rsidDel="00000000" w:rsidR="00000000" w:rsidRPr="00000000">
        <w:rPr>
          <w:color w:val="1f1f1f"/>
          <w:rtl w:val="0"/>
        </w:rPr>
        <w:t xml:space="preserve"> Sequencing and bioinformatics analysis.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Months 23–24:</w:t>
      </w:r>
      <w:r w:rsidDel="00000000" w:rsidR="00000000" w:rsidRPr="00000000">
        <w:rPr>
          <w:color w:val="1f1f1f"/>
          <w:rtl w:val="0"/>
        </w:rPr>
        <w:t xml:space="preserve"> Statistical modeling (Rare×PRS) and manuscript preparation.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kjm5xdwvcoy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Anticipated Results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Synergy:</w:t>
      </w:r>
      <w:r w:rsidDel="00000000" w:rsidR="00000000" w:rsidRPr="00000000">
        <w:rPr>
          <w:color w:val="1f1f1f"/>
          <w:rtl w:val="0"/>
        </w:rPr>
        <w:t xml:space="preserve"> Individuals with both a rare risk variant and a high PRS decile are expected to show the earliest age of onset (median &lt; 45 years).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Accuracy:</w:t>
      </w:r>
      <w:r w:rsidDel="00000000" w:rsidR="00000000" w:rsidRPr="00000000">
        <w:rPr>
          <w:color w:val="1f1f1f"/>
          <w:rtl w:val="0"/>
        </w:rPr>
        <w:t xml:space="preserve"> The combined genetic model is expected to achieve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AUC of at least 0.90</w:t>
      </w:r>
      <w:r w:rsidDel="00000000" w:rsidR="00000000" w:rsidRPr="00000000">
        <w:rPr>
          <w:color w:val="1f1f1f"/>
          <w:rtl w:val="0"/>
        </w:rPr>
        <w:t xml:space="preserve">, significantly outperforming APOE status (AUC of approximately 0.68).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Phenotype Links:</w:t>
      </w:r>
      <w:r w:rsidDel="00000000" w:rsidR="00000000" w:rsidRPr="00000000">
        <w:rPr>
          <w:color w:val="1f1f1f"/>
          <w:rtl w:val="0"/>
        </w:rPr>
        <w:t xml:space="preserve"> Non-amnestic variants are expected to correlate with specific microglial-pathway polygenic risk.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ob7ytolko6d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Ethics and Integrity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IRB Compliance:</w:t>
      </w:r>
      <w:r w:rsidDel="00000000" w:rsidR="00000000" w:rsidRPr="00000000">
        <w:rPr>
          <w:color w:val="1f1f1f"/>
          <w:rtl w:val="0"/>
        </w:rPr>
        <w:t xml:space="preserve"> Formal request for informed consent specifically addressing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"Right Not to Know"</w:t>
      </w:r>
      <w:r w:rsidDel="00000000" w:rsidR="00000000" w:rsidRPr="00000000">
        <w:rPr>
          <w:color w:val="1f1f1f"/>
          <w:rtl w:val="0"/>
        </w:rPr>
        <w:t xml:space="preserve"> deterministic genetic results.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Security:</w:t>
      </w:r>
      <w:r w:rsidDel="00000000" w:rsidR="00000000" w:rsidRPr="00000000">
        <w:rPr>
          <w:color w:val="1f1f1f"/>
          <w:rtl w:val="0"/>
        </w:rPr>
        <w:t xml:space="preserve"> All genomic data (VCF/BAM files) will be anonymized using GUIDs and stored on encrypted servers.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Reporting:</w:t>
      </w:r>
      <w:r w:rsidDel="00000000" w:rsidR="00000000" w:rsidRPr="00000000">
        <w:rPr>
          <w:color w:val="1f1f1f"/>
          <w:rtl w:val="0"/>
        </w:rPr>
        <w:t xml:space="preserve"> Adherence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STREGA</w:t>
      </w:r>
      <w:r w:rsidDel="00000000" w:rsidR="00000000" w:rsidRPr="00000000">
        <w:rPr>
          <w:color w:val="1f1f1f"/>
          <w:rtl w:val="0"/>
        </w:rPr>
        <w:t xml:space="preserve"> (Strengthening the Reporting of Genetic Association studies) guidelines.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z2fuskt50ep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Bellou, E., et al. (2025).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Benchmarking Alzheimer’s disease prediction: personalised risk assessment using polygenic risk scores across various methodologies and genome-wide studies.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Alzheimer's Research &amp; Therapy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Lali, R., et al. (2026).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rare variant polygenic risk score for Late-Onset Alzheimer's Disease demonstrates trans-ethnic predictive power.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Nature Communications/PMC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Jack, C. R. Jr., et al. (2024).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Revised NIA-AA Criteria for the Diagnosis of Alzheimer’s Disease.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Alzheimer's &amp; Dementia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Nicolas, G., et al. (2022).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Challenge accepted: uncovering the role of rare genetic variants in Alzheimer's disease.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Molecular Neurodegeneration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Gaynor, S., et al. (2026).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Genetic variants linked to cognitive longevity in SuperAgers.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Alzheimer's &amp; Dementia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Mustafa A. Bakr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Mustafa.97109@Medicine.mti.edu.eg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Modern University for Technology &amp; Information, Cairo, Egypt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