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B58F60" w14:textId="77777777" w:rsidR="00C135DC" w:rsidRPr="003D4166" w:rsidRDefault="00000000">
      <w:pPr>
        <w:spacing w:before="1600"/>
        <w:jc w:val="center"/>
        <w:rPr>
          <w:rFonts w:asciiTheme="minorBidi" w:hAnsiTheme="minorBidi" w:cstheme="minorBidi"/>
          <w:sz w:val="22"/>
          <w:szCs w:val="22"/>
        </w:rPr>
      </w:pPr>
      <w:r w:rsidRPr="003D4166">
        <w:rPr>
          <w:rFonts w:asciiTheme="minorBidi" w:hAnsiTheme="minorBidi" w:cstheme="minorBidi"/>
          <w:b/>
          <w:bCs/>
          <w:color w:val="595959"/>
          <w:sz w:val="22"/>
          <w:szCs w:val="22"/>
        </w:rPr>
        <w:t>STUDY PROTOCOL</w:t>
      </w:r>
    </w:p>
    <w:p w14:paraId="094A0BE7" w14:textId="48291AC1" w:rsidR="00C135DC" w:rsidRPr="003D4166" w:rsidRDefault="0016492E">
      <w:pPr>
        <w:spacing w:before="200" w:after="200"/>
        <w:jc w:val="center"/>
        <w:rPr>
          <w:rFonts w:asciiTheme="minorBidi" w:hAnsiTheme="minorBidi" w:cstheme="minorBidi"/>
          <w:sz w:val="22"/>
          <w:szCs w:val="22"/>
        </w:rPr>
      </w:pPr>
      <w:r w:rsidRPr="003D4166">
        <w:rPr>
          <w:rFonts w:asciiTheme="minorBidi" w:hAnsiTheme="minorBidi" w:cstheme="minorBidi"/>
          <w:b/>
          <w:bCs/>
          <w:color w:val="1F3864"/>
          <w:sz w:val="22"/>
          <w:szCs w:val="22"/>
        </w:rPr>
        <w:t>Barriers and facilitators of de-adopting Low-Value Practices in Infertility</w:t>
      </w:r>
    </w:p>
    <w:p w14:paraId="78B74EF8" w14:textId="77777777" w:rsidR="00C135DC" w:rsidRPr="003D4166" w:rsidRDefault="00000000">
      <w:pPr>
        <w:spacing w:after="400"/>
        <w:jc w:val="center"/>
        <w:rPr>
          <w:rFonts w:asciiTheme="minorBidi" w:hAnsiTheme="minorBidi" w:cstheme="minorBidi"/>
          <w:sz w:val="22"/>
          <w:szCs w:val="22"/>
        </w:rPr>
      </w:pPr>
      <w:r w:rsidRPr="003D4166">
        <w:rPr>
          <w:rFonts w:asciiTheme="minorBidi" w:hAnsiTheme="minorBidi" w:cstheme="minorBidi"/>
          <w:i/>
          <w:iCs/>
          <w:color w:val="2E5B8C"/>
          <w:sz w:val="22"/>
          <w:szCs w:val="22"/>
        </w:rPr>
        <w:t>A Qualitative Study Using Focus Group Discussions, Guided by the Theoretical Domains Framework</w:t>
      </w:r>
    </w:p>
    <w:p w14:paraId="2B5D66D2" w14:textId="2686591E" w:rsidR="00C135DC" w:rsidRPr="003D4166" w:rsidRDefault="00000000">
      <w:pPr>
        <w:spacing w:after="100"/>
        <w:jc w:val="center"/>
        <w:rPr>
          <w:rFonts w:asciiTheme="minorBidi" w:hAnsiTheme="minorBidi" w:cstheme="minorBidi"/>
          <w:sz w:val="22"/>
          <w:szCs w:val="22"/>
        </w:rPr>
      </w:pPr>
      <w:r w:rsidRPr="003D4166">
        <w:rPr>
          <w:rFonts w:asciiTheme="minorBidi" w:hAnsiTheme="minorBidi" w:cstheme="minorBidi"/>
          <w:color w:val="595959"/>
          <w:sz w:val="22"/>
          <w:szCs w:val="22"/>
        </w:rPr>
        <w:t xml:space="preserve">Focus area: </w:t>
      </w:r>
      <w:r w:rsidR="008C1DF2" w:rsidRPr="003D4166">
        <w:rPr>
          <w:rFonts w:asciiTheme="minorBidi" w:hAnsiTheme="minorBidi" w:cstheme="minorBidi"/>
          <w:color w:val="595959"/>
          <w:sz w:val="22"/>
          <w:szCs w:val="22"/>
        </w:rPr>
        <w:t>D</w:t>
      </w:r>
      <w:r w:rsidRPr="003D4166">
        <w:rPr>
          <w:rFonts w:asciiTheme="minorBidi" w:hAnsiTheme="minorBidi" w:cstheme="minorBidi"/>
          <w:color w:val="595959"/>
          <w:sz w:val="22"/>
          <w:szCs w:val="22"/>
        </w:rPr>
        <w:t xml:space="preserve">iagnostic work-up and management of </w:t>
      </w:r>
      <w:r w:rsidR="008C1DF2" w:rsidRPr="003D4166">
        <w:rPr>
          <w:rFonts w:asciiTheme="minorBidi" w:hAnsiTheme="minorBidi" w:cstheme="minorBidi"/>
          <w:color w:val="595959"/>
          <w:sz w:val="22"/>
          <w:szCs w:val="22"/>
        </w:rPr>
        <w:t>in</w:t>
      </w:r>
      <w:r w:rsidRPr="003D4166">
        <w:rPr>
          <w:rFonts w:asciiTheme="minorBidi" w:hAnsiTheme="minorBidi" w:cstheme="minorBidi"/>
          <w:color w:val="595959"/>
          <w:sz w:val="22"/>
          <w:szCs w:val="22"/>
        </w:rPr>
        <w:t>fertility</w:t>
      </w:r>
    </w:p>
    <w:p w14:paraId="393E6154" w14:textId="77777777" w:rsidR="00C135DC" w:rsidRPr="003D4166" w:rsidRDefault="00000000">
      <w:pPr>
        <w:spacing w:after="600"/>
        <w:jc w:val="center"/>
        <w:rPr>
          <w:rFonts w:asciiTheme="minorBidi" w:hAnsiTheme="minorBidi" w:cstheme="minorBidi"/>
          <w:sz w:val="22"/>
          <w:szCs w:val="22"/>
        </w:rPr>
      </w:pPr>
      <w:r w:rsidRPr="003D4166">
        <w:rPr>
          <w:rFonts w:asciiTheme="minorBidi" w:hAnsiTheme="minorBidi" w:cstheme="minorBidi"/>
          <w:color w:val="595959"/>
          <w:sz w:val="22"/>
          <w:szCs w:val="22"/>
        </w:rPr>
        <w:t>Discipline: Obstetrics and Gynaecology — Medical Education, Clinical Training and Clinical Practice</w:t>
      </w:r>
    </w:p>
    <w:p w14:paraId="2928A198" w14:textId="77777777" w:rsidR="00C135DC" w:rsidRPr="003D4166" w:rsidRDefault="00000000">
      <w:pPr>
        <w:rPr>
          <w:rFonts w:asciiTheme="minorBidi" w:hAnsiTheme="minorBidi" w:cstheme="minorBidi"/>
          <w:sz w:val="22"/>
          <w:szCs w:val="22"/>
        </w:rPr>
      </w:pPr>
      <w:r w:rsidRPr="003D4166">
        <w:rPr>
          <w:rFonts w:asciiTheme="minorBidi" w:hAnsiTheme="minorBidi" w:cstheme="minorBidi"/>
          <w:sz w:val="22"/>
          <w:szCs w:val="22"/>
        </w:rPr>
        <w:br w:type="page"/>
      </w:r>
    </w:p>
    <w:p w14:paraId="16CC020A" w14:textId="77777777" w:rsidR="00C135DC" w:rsidRPr="003D4166" w:rsidRDefault="00000000">
      <w:pPr>
        <w:pStyle w:val="Heading1"/>
        <w:spacing w:before="360" w:after="160"/>
        <w:rPr>
          <w:rFonts w:asciiTheme="minorBidi" w:hAnsiTheme="minorBidi" w:cstheme="minorBidi"/>
          <w:sz w:val="22"/>
          <w:szCs w:val="22"/>
        </w:rPr>
      </w:pPr>
      <w:bookmarkStart w:id="0" w:name="_Toc234679158"/>
      <w:r w:rsidRPr="003D4166">
        <w:rPr>
          <w:rFonts w:asciiTheme="minorBidi" w:hAnsiTheme="minorBidi" w:cstheme="minorBidi"/>
          <w:b/>
          <w:bCs/>
          <w:color w:val="1F3864"/>
          <w:sz w:val="22"/>
          <w:szCs w:val="22"/>
        </w:rPr>
        <w:lastRenderedPageBreak/>
        <w:t>Table of Contents</w:t>
      </w:r>
      <w:bookmarkEnd w:id="0"/>
    </w:p>
    <w:sdt>
      <w:sdtPr>
        <w:rPr>
          <w:rFonts w:asciiTheme="minorBidi" w:hAnsiTheme="minorBidi" w:cstheme="minorBidi"/>
          <w:sz w:val="22"/>
          <w:szCs w:val="22"/>
        </w:rPr>
        <w:alias w:val="Table of Contents"/>
        <w:id w:val="-240802417"/>
      </w:sdtPr>
      <w:sdtContent>
        <w:p w14:paraId="2B76E77E" w14:textId="77777777" w:rsidR="0016492E" w:rsidRPr="003D4166" w:rsidRDefault="00000000">
          <w:pPr>
            <w:pStyle w:val="TOC1"/>
            <w:tabs>
              <w:tab w:val="right" w:leader="dot" w:pos="9350"/>
            </w:tabs>
            <w:rPr>
              <w:rFonts w:asciiTheme="minorBidi" w:hAnsiTheme="minorBidi" w:cstheme="minorBidi"/>
              <w:noProof/>
              <w:sz w:val="22"/>
              <w:szCs w:val="22"/>
            </w:rPr>
          </w:pPr>
          <w:r w:rsidRPr="003D4166">
            <w:rPr>
              <w:rFonts w:asciiTheme="minorBidi" w:hAnsiTheme="minorBidi" w:cstheme="minorBidi"/>
              <w:sz w:val="22"/>
              <w:szCs w:val="22"/>
            </w:rPr>
            <w:fldChar w:fldCharType="begin"/>
          </w:r>
          <w:r w:rsidRPr="003D4166">
            <w:rPr>
              <w:rFonts w:asciiTheme="minorBidi" w:hAnsiTheme="minorBidi" w:cstheme="minorBidi"/>
              <w:sz w:val="22"/>
              <w:szCs w:val="22"/>
            </w:rPr>
            <w:instrText>TOC \h \o "1-3"</w:instrText>
          </w:r>
          <w:r w:rsidRPr="003D4166">
            <w:rPr>
              <w:rFonts w:asciiTheme="minorBidi" w:hAnsiTheme="minorBidi" w:cstheme="minorBidi"/>
              <w:sz w:val="22"/>
              <w:szCs w:val="22"/>
            </w:rPr>
            <w:fldChar w:fldCharType="separate"/>
          </w:r>
          <w:hyperlink w:anchor="_Toc234679158" w:history="1">
            <w:r w:rsidR="0016492E" w:rsidRPr="003D4166">
              <w:rPr>
                <w:rStyle w:val="Hyperlink"/>
                <w:rFonts w:asciiTheme="minorBidi" w:hAnsiTheme="minorBidi" w:cstheme="minorBidi"/>
                <w:b/>
                <w:bCs/>
                <w:noProof/>
                <w:sz w:val="22"/>
                <w:szCs w:val="22"/>
              </w:rPr>
              <w:t>Table of Contents</w:t>
            </w:r>
            <w:r w:rsidR="0016492E" w:rsidRPr="003D4166">
              <w:rPr>
                <w:rFonts w:asciiTheme="minorBidi" w:hAnsiTheme="minorBidi" w:cstheme="minorBidi"/>
                <w:noProof/>
                <w:sz w:val="22"/>
                <w:szCs w:val="22"/>
              </w:rPr>
              <w:tab/>
            </w:r>
            <w:r w:rsidR="0016492E" w:rsidRPr="003D4166">
              <w:rPr>
                <w:rFonts w:asciiTheme="minorBidi" w:hAnsiTheme="minorBidi" w:cstheme="minorBidi"/>
                <w:noProof/>
                <w:sz w:val="22"/>
                <w:szCs w:val="22"/>
              </w:rPr>
              <w:fldChar w:fldCharType="begin"/>
            </w:r>
            <w:r w:rsidR="0016492E" w:rsidRPr="003D4166">
              <w:rPr>
                <w:rFonts w:asciiTheme="minorBidi" w:hAnsiTheme="minorBidi" w:cstheme="minorBidi"/>
                <w:noProof/>
                <w:sz w:val="22"/>
                <w:szCs w:val="22"/>
              </w:rPr>
              <w:instrText xml:space="preserve"> PAGEREF _Toc234679158 \h </w:instrText>
            </w:r>
            <w:r w:rsidR="0016492E" w:rsidRPr="003D4166">
              <w:rPr>
                <w:rFonts w:asciiTheme="minorBidi" w:hAnsiTheme="minorBidi" w:cstheme="minorBidi"/>
                <w:noProof/>
                <w:sz w:val="22"/>
                <w:szCs w:val="22"/>
              </w:rPr>
            </w:r>
            <w:r w:rsidR="0016492E" w:rsidRPr="003D4166">
              <w:rPr>
                <w:rFonts w:asciiTheme="minorBidi" w:hAnsiTheme="minorBidi" w:cstheme="minorBidi"/>
                <w:noProof/>
                <w:sz w:val="22"/>
                <w:szCs w:val="22"/>
              </w:rPr>
              <w:fldChar w:fldCharType="separate"/>
            </w:r>
            <w:r w:rsidR="0016492E" w:rsidRPr="003D4166">
              <w:rPr>
                <w:rFonts w:asciiTheme="minorBidi" w:hAnsiTheme="minorBidi" w:cstheme="minorBidi"/>
                <w:noProof/>
                <w:sz w:val="22"/>
                <w:szCs w:val="22"/>
              </w:rPr>
              <w:t>1</w:t>
            </w:r>
            <w:r w:rsidR="0016492E" w:rsidRPr="003D4166">
              <w:rPr>
                <w:rFonts w:asciiTheme="minorBidi" w:hAnsiTheme="minorBidi" w:cstheme="minorBidi"/>
                <w:noProof/>
                <w:sz w:val="22"/>
                <w:szCs w:val="22"/>
              </w:rPr>
              <w:fldChar w:fldCharType="end"/>
            </w:r>
          </w:hyperlink>
        </w:p>
        <w:p w14:paraId="0B9B868C" w14:textId="77777777" w:rsidR="0016492E" w:rsidRPr="003D4166" w:rsidRDefault="0016492E">
          <w:pPr>
            <w:pStyle w:val="TOC1"/>
            <w:tabs>
              <w:tab w:val="right" w:leader="dot" w:pos="9350"/>
            </w:tabs>
            <w:rPr>
              <w:rFonts w:asciiTheme="minorBidi" w:hAnsiTheme="minorBidi" w:cstheme="minorBidi"/>
              <w:noProof/>
              <w:sz w:val="22"/>
              <w:szCs w:val="22"/>
            </w:rPr>
          </w:pPr>
          <w:hyperlink w:anchor="_Toc234679159" w:history="1">
            <w:r w:rsidRPr="003D4166">
              <w:rPr>
                <w:rStyle w:val="Hyperlink"/>
                <w:rFonts w:asciiTheme="minorBidi" w:hAnsiTheme="minorBidi" w:cstheme="minorBidi"/>
                <w:b/>
                <w:bCs/>
                <w:noProof/>
                <w:sz w:val="22"/>
                <w:szCs w:val="22"/>
              </w:rPr>
              <w:t>1. Background and Rationale</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_Toc234679159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68855E0E" w14:textId="77777777" w:rsidR="0016492E" w:rsidRPr="003D4166" w:rsidRDefault="0016492E">
          <w:pPr>
            <w:pStyle w:val="TOC1"/>
            <w:tabs>
              <w:tab w:val="right" w:leader="dot" w:pos="9350"/>
            </w:tabs>
            <w:rPr>
              <w:rFonts w:asciiTheme="minorBidi" w:hAnsiTheme="minorBidi" w:cstheme="minorBidi"/>
              <w:noProof/>
              <w:sz w:val="22"/>
              <w:szCs w:val="22"/>
            </w:rPr>
          </w:pPr>
          <w:hyperlink w:anchor="_Toc234679160" w:history="1">
            <w:r w:rsidRPr="003D4166">
              <w:rPr>
                <w:rStyle w:val="Hyperlink"/>
                <w:rFonts w:asciiTheme="minorBidi" w:hAnsiTheme="minorBidi" w:cstheme="minorBidi"/>
                <w:b/>
                <w:bCs/>
                <w:noProof/>
                <w:sz w:val="22"/>
                <w:szCs w:val="22"/>
              </w:rPr>
              <w:t>2. Aim and Objectives</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_Toc234679160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5F763DF0" w14:textId="77777777" w:rsidR="0016492E" w:rsidRPr="003D4166" w:rsidRDefault="0016492E">
          <w:pPr>
            <w:pStyle w:val="TOC2"/>
            <w:tabs>
              <w:tab w:val="right" w:leader="dot" w:pos="9350"/>
            </w:tabs>
            <w:rPr>
              <w:rFonts w:asciiTheme="minorBidi" w:hAnsiTheme="minorBidi" w:cstheme="minorBidi"/>
              <w:noProof/>
              <w:sz w:val="22"/>
              <w:szCs w:val="22"/>
            </w:rPr>
          </w:pPr>
          <w:hyperlink w:anchor="_Toc234679161" w:history="1">
            <w:r w:rsidRPr="003D4166">
              <w:rPr>
                <w:rStyle w:val="Hyperlink"/>
                <w:rFonts w:asciiTheme="minorBidi" w:hAnsiTheme="minorBidi" w:cstheme="minorBidi"/>
                <w:b/>
                <w:bCs/>
                <w:noProof/>
                <w:sz w:val="22"/>
                <w:szCs w:val="22"/>
              </w:rPr>
              <w:t>2.1 Aim</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_Toc234679161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56330DE2" w14:textId="77777777" w:rsidR="0016492E" w:rsidRPr="003D4166" w:rsidRDefault="0016492E">
          <w:pPr>
            <w:pStyle w:val="TOC2"/>
            <w:tabs>
              <w:tab w:val="right" w:leader="dot" w:pos="9350"/>
            </w:tabs>
            <w:rPr>
              <w:rFonts w:asciiTheme="minorBidi" w:hAnsiTheme="minorBidi" w:cstheme="minorBidi"/>
              <w:noProof/>
              <w:sz w:val="22"/>
              <w:szCs w:val="22"/>
            </w:rPr>
          </w:pPr>
          <w:hyperlink w:anchor="_Toc234679162" w:history="1">
            <w:r w:rsidRPr="003D4166">
              <w:rPr>
                <w:rStyle w:val="Hyperlink"/>
                <w:rFonts w:asciiTheme="minorBidi" w:hAnsiTheme="minorBidi" w:cstheme="minorBidi"/>
                <w:b/>
                <w:bCs/>
                <w:noProof/>
                <w:sz w:val="22"/>
                <w:szCs w:val="22"/>
              </w:rPr>
              <w:t>2.2 Objectives</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_Toc234679162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7FA86DF1" w14:textId="77777777" w:rsidR="0016492E" w:rsidRPr="003D4166" w:rsidRDefault="0016492E">
          <w:pPr>
            <w:pStyle w:val="TOC1"/>
            <w:tabs>
              <w:tab w:val="right" w:leader="dot" w:pos="9350"/>
            </w:tabs>
            <w:rPr>
              <w:rFonts w:asciiTheme="minorBidi" w:hAnsiTheme="minorBidi" w:cstheme="minorBidi"/>
              <w:noProof/>
              <w:sz w:val="22"/>
              <w:szCs w:val="22"/>
            </w:rPr>
          </w:pPr>
          <w:hyperlink w:anchor="_Toc234679163" w:history="1">
            <w:r w:rsidRPr="003D4166">
              <w:rPr>
                <w:rStyle w:val="Hyperlink"/>
                <w:rFonts w:asciiTheme="minorBidi" w:hAnsiTheme="minorBidi" w:cstheme="minorBidi"/>
                <w:b/>
                <w:bCs/>
                <w:noProof/>
                <w:sz w:val="22"/>
                <w:szCs w:val="22"/>
              </w:rPr>
              <w:t>3. Research Questions</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_Toc234679163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7B8EA464" w14:textId="77777777" w:rsidR="0016492E" w:rsidRPr="003D4166" w:rsidRDefault="0016492E">
          <w:pPr>
            <w:pStyle w:val="TOC1"/>
            <w:tabs>
              <w:tab w:val="right" w:leader="dot" w:pos="9350"/>
            </w:tabs>
            <w:rPr>
              <w:rFonts w:asciiTheme="minorBidi" w:hAnsiTheme="minorBidi" w:cstheme="minorBidi"/>
              <w:noProof/>
              <w:sz w:val="22"/>
              <w:szCs w:val="22"/>
            </w:rPr>
          </w:pPr>
          <w:hyperlink w:anchor="_Toc234679164" w:history="1">
            <w:r w:rsidRPr="003D4166">
              <w:rPr>
                <w:rStyle w:val="Hyperlink"/>
                <w:rFonts w:asciiTheme="minorBidi" w:hAnsiTheme="minorBidi" w:cstheme="minorBidi"/>
                <w:b/>
                <w:bCs/>
                <w:noProof/>
                <w:sz w:val="22"/>
                <w:szCs w:val="22"/>
              </w:rPr>
              <w:t>4. Study Design</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_Toc234679164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2A459B79" w14:textId="77777777" w:rsidR="0016492E" w:rsidRPr="003D4166" w:rsidRDefault="0016492E">
          <w:pPr>
            <w:pStyle w:val="TOC2"/>
            <w:tabs>
              <w:tab w:val="right" w:leader="dot" w:pos="9350"/>
            </w:tabs>
            <w:rPr>
              <w:rFonts w:asciiTheme="minorBidi" w:hAnsiTheme="minorBidi" w:cstheme="minorBidi"/>
              <w:noProof/>
              <w:sz w:val="22"/>
              <w:szCs w:val="22"/>
            </w:rPr>
          </w:pPr>
          <w:hyperlink w:anchor="_Toc234679165" w:history="1">
            <w:r w:rsidRPr="003D4166">
              <w:rPr>
                <w:rStyle w:val="Hyperlink"/>
                <w:rFonts w:asciiTheme="minorBidi" w:hAnsiTheme="minorBidi" w:cstheme="minorBidi"/>
                <w:b/>
                <w:bCs/>
                <w:noProof/>
                <w:sz w:val="22"/>
                <w:szCs w:val="22"/>
              </w:rPr>
              <w:t>4.1 Theoretical and Methodological Orientation</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_Toc234679165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4B6A3045" w14:textId="77777777" w:rsidR="0016492E" w:rsidRPr="003D4166" w:rsidRDefault="0016492E">
          <w:pPr>
            <w:pStyle w:val="TOC1"/>
            <w:tabs>
              <w:tab w:val="right" w:leader="dot" w:pos="9350"/>
            </w:tabs>
            <w:rPr>
              <w:rFonts w:asciiTheme="minorBidi" w:hAnsiTheme="minorBidi" w:cstheme="minorBidi"/>
              <w:noProof/>
              <w:sz w:val="22"/>
              <w:szCs w:val="22"/>
            </w:rPr>
          </w:pPr>
          <w:hyperlink w:anchor="_Toc234679166" w:history="1">
            <w:r w:rsidRPr="003D4166">
              <w:rPr>
                <w:rStyle w:val="Hyperlink"/>
                <w:rFonts w:asciiTheme="minorBidi" w:hAnsiTheme="minorBidi" w:cstheme="minorBidi"/>
                <w:b/>
                <w:bCs/>
                <w:noProof/>
                <w:sz w:val="22"/>
                <w:szCs w:val="22"/>
              </w:rPr>
              <w:t>5. Setting</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_Toc234679166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43CAB390" w14:textId="77777777" w:rsidR="0016492E" w:rsidRPr="003D4166" w:rsidRDefault="0016492E">
          <w:pPr>
            <w:pStyle w:val="TOC1"/>
            <w:tabs>
              <w:tab w:val="right" w:leader="dot" w:pos="9350"/>
            </w:tabs>
            <w:rPr>
              <w:rFonts w:asciiTheme="minorBidi" w:hAnsiTheme="minorBidi" w:cstheme="minorBidi"/>
              <w:noProof/>
              <w:sz w:val="22"/>
              <w:szCs w:val="22"/>
            </w:rPr>
          </w:pPr>
          <w:hyperlink w:anchor="_Toc234679167" w:history="1">
            <w:r w:rsidRPr="003D4166">
              <w:rPr>
                <w:rStyle w:val="Hyperlink"/>
                <w:rFonts w:asciiTheme="minorBidi" w:hAnsiTheme="minorBidi" w:cstheme="minorBidi"/>
                <w:b/>
                <w:bCs/>
                <w:noProof/>
                <w:sz w:val="22"/>
                <w:szCs w:val="22"/>
              </w:rPr>
              <w:t>6. Participants and Sampling</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_Toc234679167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525775C0" w14:textId="77777777" w:rsidR="0016492E" w:rsidRPr="003D4166" w:rsidRDefault="0016492E">
          <w:pPr>
            <w:pStyle w:val="TOC2"/>
            <w:tabs>
              <w:tab w:val="right" w:leader="dot" w:pos="9350"/>
            </w:tabs>
            <w:rPr>
              <w:rFonts w:asciiTheme="minorBidi" w:hAnsiTheme="minorBidi" w:cstheme="minorBidi"/>
              <w:noProof/>
              <w:sz w:val="22"/>
              <w:szCs w:val="22"/>
            </w:rPr>
          </w:pPr>
          <w:hyperlink w:anchor="_Toc234679168" w:history="1">
            <w:r w:rsidRPr="003D4166">
              <w:rPr>
                <w:rStyle w:val="Hyperlink"/>
                <w:rFonts w:asciiTheme="minorBidi" w:hAnsiTheme="minorBidi" w:cstheme="minorBidi"/>
                <w:b/>
                <w:bCs/>
                <w:noProof/>
                <w:sz w:val="22"/>
                <w:szCs w:val="22"/>
              </w:rPr>
              <w:t>6.1 Population</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_Toc234679168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004D29CF" w14:textId="77777777" w:rsidR="0016492E" w:rsidRPr="003D4166" w:rsidRDefault="0016492E">
          <w:pPr>
            <w:pStyle w:val="TOC2"/>
            <w:tabs>
              <w:tab w:val="right" w:leader="dot" w:pos="9350"/>
            </w:tabs>
            <w:rPr>
              <w:rFonts w:asciiTheme="minorBidi" w:hAnsiTheme="minorBidi" w:cstheme="minorBidi"/>
              <w:noProof/>
              <w:sz w:val="22"/>
              <w:szCs w:val="22"/>
            </w:rPr>
          </w:pPr>
          <w:hyperlink w:anchor="_Toc234679169" w:history="1">
            <w:r w:rsidRPr="003D4166">
              <w:rPr>
                <w:rStyle w:val="Hyperlink"/>
                <w:rFonts w:asciiTheme="minorBidi" w:hAnsiTheme="minorBidi" w:cstheme="minorBidi"/>
                <w:b/>
                <w:bCs/>
                <w:noProof/>
                <w:sz w:val="22"/>
                <w:szCs w:val="22"/>
              </w:rPr>
              <w:t>6.2 Sampling Strategy</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_Toc234679169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2B49A29F" w14:textId="77777777" w:rsidR="0016492E" w:rsidRPr="003D4166" w:rsidRDefault="0016492E">
          <w:pPr>
            <w:pStyle w:val="TOC2"/>
            <w:tabs>
              <w:tab w:val="right" w:leader="dot" w:pos="9350"/>
            </w:tabs>
            <w:rPr>
              <w:rFonts w:asciiTheme="minorBidi" w:hAnsiTheme="minorBidi" w:cstheme="minorBidi"/>
              <w:noProof/>
              <w:sz w:val="22"/>
              <w:szCs w:val="22"/>
            </w:rPr>
          </w:pPr>
          <w:hyperlink w:anchor="_Toc234679170" w:history="1">
            <w:r w:rsidRPr="003D4166">
              <w:rPr>
                <w:rStyle w:val="Hyperlink"/>
                <w:rFonts w:asciiTheme="minorBidi" w:hAnsiTheme="minorBidi" w:cstheme="minorBidi"/>
                <w:b/>
                <w:bCs/>
                <w:noProof/>
                <w:sz w:val="22"/>
                <w:szCs w:val="22"/>
              </w:rPr>
              <w:t>6.3 Samp</w:t>
            </w:r>
            <w:r w:rsidRPr="003D4166">
              <w:rPr>
                <w:rStyle w:val="Hyperlink"/>
                <w:rFonts w:asciiTheme="minorBidi" w:hAnsiTheme="minorBidi" w:cstheme="minorBidi"/>
                <w:b/>
                <w:bCs/>
                <w:noProof/>
                <w:sz w:val="22"/>
                <w:szCs w:val="22"/>
              </w:rPr>
              <w:t>l</w:t>
            </w:r>
            <w:r w:rsidRPr="003D4166">
              <w:rPr>
                <w:rStyle w:val="Hyperlink"/>
                <w:rFonts w:asciiTheme="minorBidi" w:hAnsiTheme="minorBidi" w:cstheme="minorBidi"/>
                <w:b/>
                <w:bCs/>
                <w:noProof/>
                <w:sz w:val="22"/>
                <w:szCs w:val="22"/>
              </w:rPr>
              <w:t>e Size</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_Toc234679170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42F07EFC" w14:textId="77777777" w:rsidR="0016492E" w:rsidRPr="003D4166" w:rsidRDefault="0016492E">
          <w:pPr>
            <w:pStyle w:val="TOC2"/>
            <w:tabs>
              <w:tab w:val="right" w:leader="dot" w:pos="9350"/>
            </w:tabs>
            <w:rPr>
              <w:rFonts w:asciiTheme="minorBidi" w:hAnsiTheme="minorBidi" w:cstheme="minorBidi"/>
              <w:noProof/>
              <w:sz w:val="22"/>
              <w:szCs w:val="22"/>
            </w:rPr>
          </w:pPr>
          <w:hyperlink w:anchor="_Toc234679171" w:history="1">
            <w:r w:rsidRPr="003D4166">
              <w:rPr>
                <w:rStyle w:val="Hyperlink"/>
                <w:rFonts w:asciiTheme="minorBidi" w:hAnsiTheme="minorBidi" w:cstheme="minorBidi"/>
                <w:b/>
                <w:bCs/>
                <w:noProof/>
                <w:sz w:val="22"/>
                <w:szCs w:val="22"/>
              </w:rPr>
              <w:t>6.4 Inclusion and Exclusion Criteria</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_Toc234679171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1F446DE1" w14:textId="77777777" w:rsidR="0016492E" w:rsidRPr="003D4166" w:rsidRDefault="0016492E">
          <w:pPr>
            <w:pStyle w:val="TOC2"/>
            <w:tabs>
              <w:tab w:val="right" w:leader="dot" w:pos="9350"/>
            </w:tabs>
            <w:rPr>
              <w:rFonts w:asciiTheme="minorBidi" w:hAnsiTheme="minorBidi" w:cstheme="minorBidi"/>
              <w:noProof/>
              <w:sz w:val="22"/>
              <w:szCs w:val="22"/>
            </w:rPr>
          </w:pPr>
          <w:hyperlink w:anchor="_Toc234679172" w:history="1">
            <w:r w:rsidRPr="003D4166">
              <w:rPr>
                <w:rStyle w:val="Hyperlink"/>
                <w:rFonts w:asciiTheme="minorBidi" w:hAnsiTheme="minorBidi" w:cstheme="minorBidi"/>
                <w:b/>
                <w:bCs/>
                <w:noProof/>
                <w:sz w:val="22"/>
                <w:szCs w:val="22"/>
              </w:rPr>
              <w:t>6.5 Recruitment Procedures</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_Toc234679172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1F380C89" w14:textId="77777777" w:rsidR="0016492E" w:rsidRPr="003D4166" w:rsidRDefault="0016492E">
          <w:pPr>
            <w:pStyle w:val="TOC1"/>
            <w:tabs>
              <w:tab w:val="right" w:leader="dot" w:pos="9350"/>
            </w:tabs>
            <w:rPr>
              <w:rFonts w:asciiTheme="minorBidi" w:hAnsiTheme="minorBidi" w:cstheme="minorBidi"/>
              <w:noProof/>
              <w:sz w:val="22"/>
              <w:szCs w:val="22"/>
            </w:rPr>
          </w:pPr>
          <w:hyperlink w:anchor="_Toc234679173" w:history="1">
            <w:r w:rsidRPr="003D4166">
              <w:rPr>
                <w:rStyle w:val="Hyperlink"/>
                <w:rFonts w:asciiTheme="minorBidi" w:hAnsiTheme="minorBidi" w:cstheme="minorBidi"/>
                <w:b/>
                <w:bCs/>
                <w:noProof/>
                <w:sz w:val="22"/>
                <w:szCs w:val="22"/>
              </w:rPr>
              <w:t>7. Theoretical Framework: The TDF</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_Toc234679173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4445954C" w14:textId="77777777" w:rsidR="0016492E" w:rsidRPr="003D4166" w:rsidRDefault="0016492E">
          <w:pPr>
            <w:pStyle w:val="TOC1"/>
            <w:tabs>
              <w:tab w:val="right" w:leader="dot" w:pos="9350"/>
            </w:tabs>
            <w:rPr>
              <w:rFonts w:asciiTheme="minorBidi" w:hAnsiTheme="minorBidi" w:cstheme="minorBidi"/>
              <w:noProof/>
              <w:sz w:val="22"/>
              <w:szCs w:val="22"/>
            </w:rPr>
          </w:pPr>
          <w:hyperlink w:anchor="_Toc234679174" w:history="1">
            <w:r w:rsidRPr="003D4166">
              <w:rPr>
                <w:rStyle w:val="Hyperlink"/>
                <w:rFonts w:asciiTheme="minorBidi" w:hAnsiTheme="minorBidi" w:cstheme="minorBidi"/>
                <w:b/>
                <w:bCs/>
                <w:noProof/>
                <w:sz w:val="22"/>
                <w:szCs w:val="22"/>
              </w:rPr>
              <w:t>8. Data Collection</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_Toc234679174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3C7D60EC" w14:textId="77777777" w:rsidR="0016492E" w:rsidRPr="003D4166" w:rsidRDefault="0016492E">
          <w:pPr>
            <w:pStyle w:val="TOC2"/>
            <w:tabs>
              <w:tab w:val="right" w:leader="dot" w:pos="9350"/>
            </w:tabs>
            <w:rPr>
              <w:rFonts w:asciiTheme="minorBidi" w:hAnsiTheme="minorBidi" w:cstheme="minorBidi"/>
              <w:noProof/>
              <w:sz w:val="22"/>
              <w:szCs w:val="22"/>
            </w:rPr>
          </w:pPr>
          <w:hyperlink w:anchor="_Toc234679175" w:history="1">
            <w:r w:rsidRPr="003D4166">
              <w:rPr>
                <w:rStyle w:val="Hyperlink"/>
                <w:rFonts w:asciiTheme="minorBidi" w:hAnsiTheme="minorBidi" w:cstheme="minorBidi"/>
                <w:b/>
                <w:bCs/>
                <w:noProof/>
                <w:sz w:val="22"/>
                <w:szCs w:val="22"/>
              </w:rPr>
              <w:t>8.1 Topic Guide Development</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_Toc234679175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30FC0F2F" w14:textId="77777777" w:rsidR="0016492E" w:rsidRPr="003D4166" w:rsidRDefault="0016492E">
          <w:pPr>
            <w:pStyle w:val="TOC2"/>
            <w:tabs>
              <w:tab w:val="right" w:leader="dot" w:pos="9350"/>
            </w:tabs>
            <w:rPr>
              <w:rFonts w:asciiTheme="minorBidi" w:hAnsiTheme="minorBidi" w:cstheme="minorBidi"/>
              <w:noProof/>
              <w:sz w:val="22"/>
              <w:szCs w:val="22"/>
            </w:rPr>
          </w:pPr>
          <w:hyperlink w:anchor="_Toc234679176" w:history="1">
            <w:r w:rsidRPr="003D4166">
              <w:rPr>
                <w:rStyle w:val="Hyperlink"/>
                <w:rFonts w:asciiTheme="minorBidi" w:hAnsiTheme="minorBidi" w:cstheme="minorBidi"/>
                <w:b/>
                <w:bCs/>
                <w:noProof/>
                <w:sz w:val="22"/>
                <w:szCs w:val="22"/>
              </w:rPr>
              <w:t>8.2 Conduct of Focus Groups</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_Toc234679176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50DF428F" w14:textId="77777777" w:rsidR="0016492E" w:rsidRPr="003D4166" w:rsidRDefault="0016492E">
          <w:pPr>
            <w:pStyle w:val="TOC2"/>
            <w:tabs>
              <w:tab w:val="right" w:leader="dot" w:pos="9350"/>
            </w:tabs>
            <w:rPr>
              <w:rFonts w:asciiTheme="minorBidi" w:hAnsiTheme="minorBidi" w:cstheme="minorBidi"/>
              <w:noProof/>
              <w:sz w:val="22"/>
              <w:szCs w:val="22"/>
            </w:rPr>
          </w:pPr>
          <w:hyperlink w:anchor="_Toc234679177" w:history="1">
            <w:r w:rsidRPr="003D4166">
              <w:rPr>
                <w:rStyle w:val="Hyperlink"/>
                <w:rFonts w:asciiTheme="minorBidi" w:hAnsiTheme="minorBidi" w:cstheme="minorBidi"/>
                <w:b/>
                <w:bCs/>
                <w:noProof/>
                <w:sz w:val="22"/>
                <w:szCs w:val="22"/>
              </w:rPr>
              <w:t>8.3 Data Management</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_Toc234679177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2009428A" w14:textId="77777777" w:rsidR="0016492E" w:rsidRPr="003D4166" w:rsidRDefault="0016492E">
          <w:pPr>
            <w:pStyle w:val="TOC1"/>
            <w:tabs>
              <w:tab w:val="right" w:leader="dot" w:pos="9350"/>
            </w:tabs>
            <w:rPr>
              <w:rFonts w:asciiTheme="minorBidi" w:hAnsiTheme="minorBidi" w:cstheme="minorBidi"/>
              <w:noProof/>
              <w:sz w:val="22"/>
              <w:szCs w:val="22"/>
            </w:rPr>
          </w:pPr>
          <w:hyperlink w:anchor="_Toc234679178" w:history="1">
            <w:r w:rsidRPr="003D4166">
              <w:rPr>
                <w:rStyle w:val="Hyperlink"/>
                <w:rFonts w:asciiTheme="minorBidi" w:hAnsiTheme="minorBidi" w:cstheme="minorBidi"/>
                <w:b/>
                <w:bCs/>
                <w:noProof/>
                <w:sz w:val="22"/>
                <w:szCs w:val="22"/>
              </w:rPr>
              <w:t>9. Data Analysis</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_Toc234679178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1E4A72C4" w14:textId="77777777" w:rsidR="0016492E" w:rsidRPr="003D4166" w:rsidRDefault="0016492E">
          <w:pPr>
            <w:pStyle w:val="TOC1"/>
            <w:tabs>
              <w:tab w:val="right" w:leader="dot" w:pos="9350"/>
            </w:tabs>
            <w:rPr>
              <w:rFonts w:asciiTheme="minorBidi" w:hAnsiTheme="minorBidi" w:cstheme="minorBidi"/>
              <w:noProof/>
              <w:sz w:val="22"/>
              <w:szCs w:val="22"/>
            </w:rPr>
          </w:pPr>
          <w:hyperlink w:anchor="_Toc234679179" w:history="1">
            <w:r w:rsidRPr="003D4166">
              <w:rPr>
                <w:rStyle w:val="Hyperlink"/>
                <w:rFonts w:asciiTheme="minorBidi" w:hAnsiTheme="minorBidi" w:cstheme="minorBidi"/>
                <w:b/>
                <w:bCs/>
                <w:noProof/>
                <w:sz w:val="22"/>
                <w:szCs w:val="22"/>
              </w:rPr>
              <w:t>10. Rigour and Trustworthiness</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_Toc234679179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29217962" w14:textId="77777777" w:rsidR="0016492E" w:rsidRPr="003D4166" w:rsidRDefault="0016492E">
          <w:pPr>
            <w:pStyle w:val="TOC2"/>
            <w:tabs>
              <w:tab w:val="right" w:leader="dot" w:pos="9350"/>
            </w:tabs>
            <w:rPr>
              <w:rFonts w:asciiTheme="minorBidi" w:hAnsiTheme="minorBidi" w:cstheme="minorBidi"/>
              <w:noProof/>
              <w:sz w:val="22"/>
              <w:szCs w:val="22"/>
            </w:rPr>
          </w:pPr>
          <w:hyperlink w:anchor="_Toc234679180" w:history="1">
            <w:r w:rsidRPr="003D4166">
              <w:rPr>
                <w:rStyle w:val="Hyperlink"/>
                <w:rFonts w:asciiTheme="minorBidi" w:hAnsiTheme="minorBidi" w:cstheme="minorBidi"/>
                <w:b/>
                <w:bCs/>
                <w:noProof/>
                <w:sz w:val="22"/>
                <w:szCs w:val="22"/>
              </w:rPr>
              <w:t>10.1 Reflexivity</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_Toc234679180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043A7694" w14:textId="77777777" w:rsidR="0016492E" w:rsidRPr="003D4166" w:rsidRDefault="0016492E">
          <w:pPr>
            <w:pStyle w:val="TOC1"/>
            <w:tabs>
              <w:tab w:val="right" w:leader="dot" w:pos="9350"/>
            </w:tabs>
            <w:rPr>
              <w:rFonts w:asciiTheme="minorBidi" w:hAnsiTheme="minorBidi" w:cstheme="minorBidi"/>
              <w:noProof/>
              <w:sz w:val="22"/>
              <w:szCs w:val="22"/>
            </w:rPr>
          </w:pPr>
          <w:hyperlink w:anchor="_Toc234679181" w:history="1">
            <w:r w:rsidRPr="003D4166">
              <w:rPr>
                <w:rStyle w:val="Hyperlink"/>
                <w:rFonts w:asciiTheme="minorBidi" w:hAnsiTheme="minorBidi" w:cstheme="minorBidi"/>
                <w:b/>
                <w:bCs/>
                <w:noProof/>
                <w:sz w:val="22"/>
                <w:szCs w:val="22"/>
              </w:rPr>
              <w:t>11. Ethical Considerations</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_Toc234679181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51E3B44D" w14:textId="77777777" w:rsidR="0016492E" w:rsidRPr="003D4166" w:rsidRDefault="0016492E">
          <w:pPr>
            <w:pStyle w:val="TOC1"/>
            <w:tabs>
              <w:tab w:val="right" w:leader="dot" w:pos="9350"/>
            </w:tabs>
            <w:rPr>
              <w:rFonts w:asciiTheme="minorBidi" w:hAnsiTheme="minorBidi" w:cstheme="minorBidi"/>
              <w:noProof/>
              <w:sz w:val="22"/>
              <w:szCs w:val="22"/>
            </w:rPr>
          </w:pPr>
          <w:hyperlink w:anchor="_Toc234679182" w:history="1">
            <w:r w:rsidRPr="003D4166">
              <w:rPr>
                <w:rStyle w:val="Hyperlink"/>
                <w:rFonts w:asciiTheme="minorBidi" w:hAnsiTheme="minorBidi" w:cstheme="minorBidi"/>
                <w:b/>
                <w:bCs/>
                <w:noProof/>
                <w:sz w:val="22"/>
                <w:szCs w:val="22"/>
              </w:rPr>
              <w:t>12. Research Team and Roles</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_Toc234679182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2788D214" w14:textId="77777777" w:rsidR="0016492E" w:rsidRPr="003D4166" w:rsidRDefault="0016492E">
          <w:pPr>
            <w:pStyle w:val="TOC1"/>
            <w:tabs>
              <w:tab w:val="right" w:leader="dot" w:pos="9350"/>
            </w:tabs>
            <w:rPr>
              <w:rFonts w:asciiTheme="minorBidi" w:hAnsiTheme="minorBidi" w:cstheme="minorBidi"/>
              <w:noProof/>
              <w:sz w:val="22"/>
              <w:szCs w:val="22"/>
            </w:rPr>
          </w:pPr>
          <w:hyperlink w:anchor="_Toc234679183" w:history="1">
            <w:r w:rsidRPr="003D4166">
              <w:rPr>
                <w:rStyle w:val="Hyperlink"/>
                <w:rFonts w:asciiTheme="minorBidi" w:hAnsiTheme="minorBidi" w:cstheme="minorBidi"/>
                <w:b/>
                <w:bCs/>
                <w:noProof/>
                <w:sz w:val="22"/>
                <w:szCs w:val="22"/>
              </w:rPr>
              <w:t>13. Study Timeline</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_Toc234679183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46F01684" w14:textId="77777777" w:rsidR="0016492E" w:rsidRPr="003D4166" w:rsidRDefault="0016492E">
          <w:pPr>
            <w:pStyle w:val="TOC1"/>
            <w:tabs>
              <w:tab w:val="right" w:leader="dot" w:pos="9350"/>
            </w:tabs>
            <w:rPr>
              <w:rFonts w:asciiTheme="minorBidi" w:hAnsiTheme="minorBidi" w:cstheme="minorBidi"/>
              <w:noProof/>
              <w:sz w:val="22"/>
              <w:szCs w:val="22"/>
            </w:rPr>
          </w:pPr>
          <w:hyperlink w:anchor="_Toc234679184" w:history="1">
            <w:r w:rsidRPr="003D4166">
              <w:rPr>
                <w:rStyle w:val="Hyperlink"/>
                <w:rFonts w:asciiTheme="minorBidi" w:hAnsiTheme="minorBidi" w:cstheme="minorBidi"/>
                <w:b/>
                <w:bCs/>
                <w:noProof/>
                <w:sz w:val="22"/>
                <w:szCs w:val="22"/>
              </w:rPr>
              <w:t>14. Dissemination Plan</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_Toc234679184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039CAA36" w14:textId="77777777" w:rsidR="0016492E" w:rsidRPr="003D4166" w:rsidRDefault="0016492E">
          <w:pPr>
            <w:pStyle w:val="TOC1"/>
            <w:tabs>
              <w:tab w:val="right" w:leader="dot" w:pos="9350"/>
            </w:tabs>
            <w:rPr>
              <w:rFonts w:asciiTheme="minorBidi" w:hAnsiTheme="minorBidi" w:cstheme="minorBidi"/>
              <w:noProof/>
              <w:sz w:val="22"/>
              <w:szCs w:val="22"/>
            </w:rPr>
          </w:pPr>
          <w:hyperlink w:anchor="_Toc234679185" w:history="1">
            <w:r w:rsidRPr="003D4166">
              <w:rPr>
                <w:rStyle w:val="Hyperlink"/>
                <w:rFonts w:asciiTheme="minorBidi" w:hAnsiTheme="minorBidi" w:cstheme="minorBidi"/>
                <w:b/>
                <w:bCs/>
                <w:noProof/>
                <w:sz w:val="22"/>
                <w:szCs w:val="22"/>
              </w:rPr>
              <w:t>15. Anticipated Limitations</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_Toc234679185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2C3A8E71" w14:textId="77777777" w:rsidR="0016492E" w:rsidRPr="003D4166" w:rsidRDefault="0016492E">
          <w:pPr>
            <w:pStyle w:val="TOC1"/>
            <w:tabs>
              <w:tab w:val="right" w:leader="dot" w:pos="9350"/>
            </w:tabs>
            <w:rPr>
              <w:rFonts w:asciiTheme="minorBidi" w:hAnsiTheme="minorBidi" w:cstheme="minorBidi"/>
              <w:noProof/>
              <w:sz w:val="22"/>
              <w:szCs w:val="22"/>
            </w:rPr>
          </w:pPr>
          <w:hyperlink w:anchor="_Toc234679186" w:history="1">
            <w:r w:rsidRPr="003D4166">
              <w:rPr>
                <w:rStyle w:val="Hyperlink"/>
                <w:rFonts w:asciiTheme="minorBidi" w:hAnsiTheme="minorBidi" w:cstheme="minorBidi"/>
                <w:b/>
                <w:bCs/>
                <w:noProof/>
                <w:sz w:val="22"/>
                <w:szCs w:val="22"/>
              </w:rPr>
              <w:t>16. Key References</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_Toc234679186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5D776110" w14:textId="77777777" w:rsidR="0016492E" w:rsidRPr="003D4166" w:rsidRDefault="0016492E">
          <w:pPr>
            <w:pStyle w:val="TOC1"/>
            <w:tabs>
              <w:tab w:val="right" w:leader="dot" w:pos="9350"/>
            </w:tabs>
            <w:rPr>
              <w:rFonts w:asciiTheme="minorBidi" w:hAnsiTheme="minorBidi" w:cstheme="minorBidi"/>
              <w:noProof/>
              <w:sz w:val="22"/>
              <w:szCs w:val="22"/>
            </w:rPr>
          </w:pPr>
          <w:hyperlink w:anchor="_Toc234679187" w:history="1">
            <w:r w:rsidRPr="003D4166">
              <w:rPr>
                <w:rStyle w:val="Hyperlink"/>
                <w:rFonts w:asciiTheme="minorBidi" w:hAnsiTheme="minorBidi" w:cstheme="minorBidi"/>
                <w:b/>
                <w:bCs/>
                <w:noProof/>
                <w:sz w:val="22"/>
                <w:szCs w:val="22"/>
              </w:rPr>
              <w:t>Appendix A: Full Focus Group Topic Guide (Draft)</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_Toc234679187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47D37EC0" w14:textId="77777777" w:rsidR="0016492E" w:rsidRPr="003D4166" w:rsidRDefault="0016492E">
          <w:pPr>
            <w:pStyle w:val="TOC2"/>
            <w:tabs>
              <w:tab w:val="right" w:leader="dot" w:pos="9350"/>
            </w:tabs>
            <w:rPr>
              <w:rFonts w:asciiTheme="minorBidi" w:hAnsiTheme="minorBidi" w:cstheme="minorBidi"/>
              <w:noProof/>
              <w:sz w:val="22"/>
              <w:szCs w:val="22"/>
            </w:rPr>
          </w:pPr>
          <w:hyperlink w:anchor="_Toc234679188" w:history="1">
            <w:r w:rsidRPr="003D4166">
              <w:rPr>
                <w:rStyle w:val="Hyperlink"/>
                <w:rFonts w:asciiTheme="minorBidi" w:hAnsiTheme="minorBidi" w:cstheme="minorBidi"/>
                <w:b/>
                <w:bCs/>
                <w:noProof/>
                <w:sz w:val="22"/>
                <w:szCs w:val="22"/>
              </w:rPr>
              <w:t>Opening (5 minutes)</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_Toc234679188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17B260B9" w14:textId="77777777" w:rsidR="0016492E" w:rsidRPr="003D4166" w:rsidRDefault="0016492E">
          <w:pPr>
            <w:pStyle w:val="TOC2"/>
            <w:tabs>
              <w:tab w:val="right" w:leader="dot" w:pos="9350"/>
            </w:tabs>
            <w:rPr>
              <w:rFonts w:asciiTheme="minorBidi" w:hAnsiTheme="minorBidi" w:cstheme="minorBidi"/>
              <w:noProof/>
              <w:sz w:val="22"/>
              <w:szCs w:val="22"/>
            </w:rPr>
          </w:pPr>
          <w:hyperlink w:anchor="_Toc234679189" w:history="1">
            <w:r w:rsidRPr="003D4166">
              <w:rPr>
                <w:rStyle w:val="Hyperlink"/>
                <w:rFonts w:asciiTheme="minorBidi" w:hAnsiTheme="minorBidi" w:cstheme="minorBidi"/>
                <w:b/>
                <w:bCs/>
                <w:noProof/>
                <w:sz w:val="22"/>
                <w:szCs w:val="22"/>
              </w:rPr>
              <w:t>Warm-up (5–10 minutes)</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_Toc234679189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31354BEF" w14:textId="77777777" w:rsidR="0016492E" w:rsidRPr="003D4166" w:rsidRDefault="0016492E">
          <w:pPr>
            <w:pStyle w:val="TOC2"/>
            <w:tabs>
              <w:tab w:val="right" w:leader="dot" w:pos="9350"/>
            </w:tabs>
            <w:rPr>
              <w:rFonts w:asciiTheme="minorBidi" w:hAnsiTheme="minorBidi" w:cstheme="minorBidi"/>
              <w:noProof/>
              <w:sz w:val="22"/>
              <w:szCs w:val="22"/>
            </w:rPr>
          </w:pPr>
          <w:hyperlink w:anchor="_Toc234679190" w:history="1">
            <w:r w:rsidRPr="003D4166">
              <w:rPr>
                <w:rStyle w:val="Hyperlink"/>
                <w:rFonts w:asciiTheme="minorBidi" w:hAnsiTheme="minorBidi" w:cstheme="minorBidi"/>
                <w:b/>
                <w:bCs/>
                <w:noProof/>
                <w:sz w:val="22"/>
                <w:szCs w:val="22"/>
              </w:rPr>
              <w:t>Core Discussion — Mapped to TDF Domains (45–55 minutes)</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_Toc234679190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64AEE88A" w14:textId="77777777" w:rsidR="0016492E" w:rsidRPr="003D4166" w:rsidRDefault="0016492E">
          <w:pPr>
            <w:pStyle w:val="TOC2"/>
            <w:tabs>
              <w:tab w:val="right" w:leader="dot" w:pos="9350"/>
            </w:tabs>
            <w:rPr>
              <w:rFonts w:asciiTheme="minorBidi" w:hAnsiTheme="minorBidi" w:cstheme="minorBidi"/>
              <w:noProof/>
              <w:sz w:val="22"/>
              <w:szCs w:val="22"/>
            </w:rPr>
          </w:pPr>
          <w:hyperlink w:anchor="_Toc234679191" w:history="1">
            <w:r w:rsidRPr="003D4166">
              <w:rPr>
                <w:rStyle w:val="Hyperlink"/>
                <w:rFonts w:asciiTheme="minorBidi" w:hAnsiTheme="minorBidi" w:cstheme="minorBidi"/>
                <w:b/>
                <w:bCs/>
                <w:noProof/>
                <w:sz w:val="22"/>
                <w:szCs w:val="22"/>
              </w:rPr>
              <w:t>Transmission Across the Continuum (10 minutes)</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_Toc234679191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251BD25F" w14:textId="77777777" w:rsidR="0016492E" w:rsidRPr="003D4166" w:rsidRDefault="0016492E">
          <w:pPr>
            <w:pStyle w:val="TOC2"/>
            <w:tabs>
              <w:tab w:val="right" w:leader="dot" w:pos="9350"/>
            </w:tabs>
            <w:rPr>
              <w:rFonts w:asciiTheme="minorBidi" w:hAnsiTheme="minorBidi" w:cstheme="minorBidi"/>
              <w:noProof/>
              <w:sz w:val="22"/>
              <w:szCs w:val="22"/>
            </w:rPr>
          </w:pPr>
          <w:hyperlink w:anchor="_Toc234679192" w:history="1">
            <w:r w:rsidRPr="003D4166">
              <w:rPr>
                <w:rStyle w:val="Hyperlink"/>
                <w:rFonts w:asciiTheme="minorBidi" w:hAnsiTheme="minorBidi" w:cstheme="minorBidi"/>
                <w:b/>
                <w:bCs/>
                <w:noProof/>
                <w:sz w:val="22"/>
                <w:szCs w:val="22"/>
              </w:rPr>
              <w:t>Closing (5 minutes)</w:t>
            </w:r>
            <w:r w:rsidRPr="003D4166">
              <w:rPr>
                <w:rFonts w:asciiTheme="minorBidi" w:hAnsiTheme="minorBidi" w:cstheme="minorBidi"/>
                <w:noProof/>
                <w:sz w:val="22"/>
                <w:szCs w:val="22"/>
              </w:rPr>
              <w:tab/>
            </w:r>
            <w:r w:rsidRPr="003D4166">
              <w:rPr>
                <w:rFonts w:asciiTheme="minorBidi" w:hAnsiTheme="minorBidi" w:cstheme="minorBidi"/>
                <w:noProof/>
                <w:sz w:val="22"/>
                <w:szCs w:val="22"/>
              </w:rPr>
              <w:fldChar w:fldCharType="begin"/>
            </w:r>
            <w:r w:rsidRPr="003D4166">
              <w:rPr>
                <w:rFonts w:asciiTheme="minorBidi" w:hAnsiTheme="minorBidi" w:cstheme="minorBidi"/>
                <w:noProof/>
                <w:sz w:val="22"/>
                <w:szCs w:val="22"/>
              </w:rPr>
              <w:instrText xml:space="preserve"> PAGEREF _Toc234679192 \h </w:instrText>
            </w:r>
            <w:r w:rsidRPr="003D4166">
              <w:rPr>
                <w:rFonts w:asciiTheme="minorBidi" w:hAnsiTheme="minorBidi" w:cstheme="minorBidi"/>
                <w:noProof/>
                <w:sz w:val="22"/>
                <w:szCs w:val="22"/>
              </w:rPr>
            </w:r>
            <w:r w:rsidRPr="003D4166">
              <w:rPr>
                <w:rFonts w:asciiTheme="minorBidi" w:hAnsiTheme="minorBidi" w:cstheme="minorBidi"/>
                <w:noProof/>
                <w:sz w:val="22"/>
                <w:szCs w:val="22"/>
              </w:rPr>
              <w:fldChar w:fldCharType="separate"/>
            </w:r>
            <w:r w:rsidRPr="003D4166">
              <w:rPr>
                <w:rFonts w:asciiTheme="minorBidi" w:hAnsiTheme="minorBidi" w:cstheme="minorBidi"/>
                <w:noProof/>
                <w:sz w:val="22"/>
                <w:szCs w:val="22"/>
              </w:rPr>
              <w:t>1</w:t>
            </w:r>
            <w:r w:rsidRPr="003D4166">
              <w:rPr>
                <w:rFonts w:asciiTheme="minorBidi" w:hAnsiTheme="minorBidi" w:cstheme="minorBidi"/>
                <w:noProof/>
                <w:sz w:val="22"/>
                <w:szCs w:val="22"/>
              </w:rPr>
              <w:fldChar w:fldCharType="end"/>
            </w:r>
          </w:hyperlink>
        </w:p>
        <w:p w14:paraId="376250FE" w14:textId="77777777" w:rsidR="00C135DC" w:rsidRPr="003D4166" w:rsidRDefault="00000000">
          <w:pPr>
            <w:rPr>
              <w:rFonts w:asciiTheme="minorBidi" w:hAnsiTheme="minorBidi" w:cstheme="minorBidi"/>
              <w:sz w:val="22"/>
              <w:szCs w:val="22"/>
            </w:rPr>
          </w:pPr>
          <w:r w:rsidRPr="003D4166">
            <w:rPr>
              <w:rFonts w:asciiTheme="minorBidi" w:hAnsiTheme="minorBidi" w:cstheme="minorBidi"/>
              <w:sz w:val="22"/>
              <w:szCs w:val="22"/>
            </w:rPr>
            <w:fldChar w:fldCharType="end"/>
          </w:r>
        </w:p>
      </w:sdtContent>
    </w:sdt>
    <w:p w14:paraId="51C9E8E1" w14:textId="77777777" w:rsidR="00C135DC" w:rsidRPr="003D4166" w:rsidRDefault="00000000">
      <w:pPr>
        <w:rPr>
          <w:rFonts w:asciiTheme="minorBidi" w:hAnsiTheme="minorBidi" w:cstheme="minorBidi"/>
          <w:sz w:val="22"/>
          <w:szCs w:val="22"/>
        </w:rPr>
      </w:pPr>
      <w:r w:rsidRPr="003D4166">
        <w:rPr>
          <w:rFonts w:asciiTheme="minorBidi" w:hAnsiTheme="minorBidi" w:cstheme="minorBidi"/>
          <w:sz w:val="22"/>
          <w:szCs w:val="22"/>
        </w:rPr>
        <w:br w:type="page"/>
      </w:r>
    </w:p>
    <w:p w14:paraId="49F7D9F4" w14:textId="77777777" w:rsidR="00C135DC" w:rsidRPr="003D4166" w:rsidRDefault="00000000">
      <w:pPr>
        <w:pStyle w:val="Heading1"/>
        <w:spacing w:before="360" w:after="160"/>
        <w:rPr>
          <w:rFonts w:asciiTheme="minorBidi" w:hAnsiTheme="minorBidi" w:cstheme="minorBidi"/>
          <w:sz w:val="22"/>
          <w:szCs w:val="22"/>
        </w:rPr>
      </w:pPr>
      <w:bookmarkStart w:id="1" w:name="_Toc234679159"/>
      <w:r w:rsidRPr="003D4166">
        <w:rPr>
          <w:rFonts w:asciiTheme="minorBidi" w:hAnsiTheme="minorBidi" w:cstheme="minorBidi"/>
          <w:b/>
          <w:bCs/>
          <w:color w:val="1F3864"/>
          <w:sz w:val="22"/>
          <w:szCs w:val="22"/>
        </w:rPr>
        <w:lastRenderedPageBreak/>
        <w:t>1. Background and Rationale</w:t>
      </w:r>
      <w:bookmarkEnd w:id="1"/>
    </w:p>
    <w:p w14:paraId="447133CA"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Management of subfertility involves a sequence of diagnostic tests and treatments — from ovarian reserve and tubal patency assessment through ovulation induction, intrauterine insemination, and assisted reproductive technology (ART) — for which evidence-based guidelines (e.g., NICE, ESHRE) recommend a staged, evidence-based approach tailored to age, duration of infertility, and diagnosis. In practice, diagnostic and therapeutic pathways are often reported to deviate from this staged approach, with both underuse of low-cost first-line options and overuse of higher-cost or invasive interventions without clear indication.</w:t>
      </w:r>
    </w:p>
    <w:p w14:paraId="45DCB788"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Low-value or ineffective practices are interventions, tests, or behaviours that offer little or no benefit, carry the potential for harm, waste resources, or are not supported by current evidence, yet persist in routine care. In Reproductive Endocrinology and Infertility, including diagnostic work-up and management of subfertility, examples raised in the literature and in local clinical experience include:</w:t>
      </w:r>
    </w:p>
    <w:p w14:paraId="3F79AC81"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Ovarian reserve testing (e.g., AMH, antral follicle count) used to counsel against or bypass conception attempts in young women with no other risk factors, beyond its validated role in predicting response to ovarian stimulation.</w:t>
      </w:r>
    </w:p>
    <w:p w14:paraId="39DBB15F"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Diagnostic laparoscopy performed routinely in the infertility work-up without a specific clinical indication (e.g., in the absence of symptoms suggestive of tubal or peritoneal disease).</w:t>
      </w:r>
    </w:p>
    <w:p w14:paraId="3C30618E"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Premature escalation to IVF/ART without an adequate, guideline-concordant trial of first-line treatment (e.g., ovulation induction, timed intercourse, or IUI) where clinically appropriate.</w:t>
      </w:r>
    </w:p>
    <w:p w14:paraId="271B4879"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Excessive or unindicated repeated transvaginal ultrasound monitoring during unstimulated or minimally stimulated cycles.</w:t>
      </w:r>
    </w:p>
    <w:p w14:paraId="5CB81329"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Use of unproven adjunct therapies or supplements (e.g., unindicated immunomodulatory treatments, unproven 'fertility supplements') without supporting evidence, adding cost without demonstrated benefit.</w:t>
      </w:r>
    </w:p>
    <w:p w14:paraId="1CC3F77E"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Ovulation induction (e.g., clomiphene citrate) continued for a non-evidence-based number of cycles, or without adequate monitoring for multiple pregnancy/ovarian hyperstimulation risk.</w:t>
      </w:r>
    </w:p>
    <w:p w14:paraId="24FA7052"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Inconsistent or absent pre-treatment counselling on lifestyle factors (weight, smoking) with established evidence of impact on fertility outcomes, in favour of proceeding directly to medical/surgical intervention.</w:t>
      </w:r>
    </w:p>
    <w:p w14:paraId="36B3C192"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Despite guideline development, audit initiatives, and educational efforts, these practices often persist across the training and practice continuum — from undergraduate teaching, through residency, to independent consultant practice. Understanding why requires more than documenting that these practices occur; it requires understanding the behavioural and contextual determinants that sustain them among the clinicians who teach, learn, and deliver care.</w:t>
      </w:r>
    </w:p>
    <w:p w14:paraId="2915D854"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lastRenderedPageBreak/>
        <w:t>The Theoretical Domains Framework (TDF) offers a comprehensive, theory-informed structure for exploring the barriers and enablers to behaviour change in healthcare. Developed by Michie et al. (2005) and refined by Cane, O'Connor and Michie (2012), the TDF synthesises 33 psychological theories into 14 domains spanning individual, social, and environmental influences on behaviour. It is widely used in implementation science to design qualitative topic guides, code data, and subsequently inform behaviour-change interventions (e.g., via the Behaviour Change Wheel).</w:t>
      </w:r>
    </w:p>
    <w:p w14:paraId="4618E3A2"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This protocol describes a qualitative study using focus group discussions (FGDs) with medical students, residents/trainees, and consultants in obstetrics and gynaecology to explore how low-value practices in the area of reproductive endocrinology and infertility (REI) are perpetuated across the education-to-practice continuum, using the TDF as the guiding theoretical and analytic framework.</w:t>
      </w:r>
    </w:p>
    <w:p w14:paraId="43E1A4E1" w14:textId="77777777" w:rsidR="00C135DC" w:rsidRPr="003D4166" w:rsidRDefault="00000000">
      <w:pPr>
        <w:pStyle w:val="Heading1"/>
        <w:spacing w:before="360" w:after="160"/>
        <w:rPr>
          <w:rFonts w:asciiTheme="minorBidi" w:hAnsiTheme="minorBidi" w:cstheme="minorBidi"/>
          <w:sz w:val="22"/>
          <w:szCs w:val="22"/>
        </w:rPr>
      </w:pPr>
      <w:bookmarkStart w:id="2" w:name="_Toc234679160"/>
      <w:r w:rsidRPr="003D4166">
        <w:rPr>
          <w:rFonts w:asciiTheme="minorBidi" w:hAnsiTheme="minorBidi" w:cstheme="minorBidi"/>
          <w:b/>
          <w:bCs/>
          <w:color w:val="1F3864"/>
          <w:sz w:val="22"/>
          <w:szCs w:val="22"/>
        </w:rPr>
        <w:t>2. Aim and Objectives</w:t>
      </w:r>
      <w:bookmarkEnd w:id="2"/>
    </w:p>
    <w:p w14:paraId="427F1C36" w14:textId="77777777" w:rsidR="00C135DC" w:rsidRPr="003D4166" w:rsidRDefault="00000000">
      <w:pPr>
        <w:pStyle w:val="Heading2"/>
        <w:spacing w:before="260" w:after="120"/>
        <w:rPr>
          <w:rFonts w:asciiTheme="minorBidi" w:hAnsiTheme="minorBidi" w:cstheme="minorBidi"/>
          <w:sz w:val="22"/>
          <w:szCs w:val="22"/>
        </w:rPr>
      </w:pPr>
      <w:bookmarkStart w:id="3" w:name="_Toc234679161"/>
      <w:r w:rsidRPr="003D4166">
        <w:rPr>
          <w:rFonts w:asciiTheme="minorBidi" w:hAnsiTheme="minorBidi" w:cstheme="minorBidi"/>
          <w:b/>
          <w:bCs/>
          <w:color w:val="2E5B8C"/>
          <w:sz w:val="22"/>
          <w:szCs w:val="22"/>
        </w:rPr>
        <w:t>2.1 Aim</w:t>
      </w:r>
      <w:bookmarkEnd w:id="3"/>
    </w:p>
    <w:p w14:paraId="216A209B"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To explore, using the Theoretical Domains Framework, the perceived barriers and enablers that perpetuate low-value practices in the diagnosis and management of reproductive endocrinology and infertility across undergraduate medical education, obstetrics and gynaecology residency training, and consultant-level (including subspecialist) clinical practice.</w:t>
      </w:r>
    </w:p>
    <w:p w14:paraId="7F719DBE" w14:textId="77777777" w:rsidR="00C135DC" w:rsidRPr="003D4166" w:rsidRDefault="00000000">
      <w:pPr>
        <w:pStyle w:val="Heading2"/>
        <w:spacing w:before="260" w:after="120"/>
        <w:rPr>
          <w:rFonts w:asciiTheme="minorBidi" w:hAnsiTheme="minorBidi" w:cstheme="minorBidi"/>
          <w:sz w:val="22"/>
          <w:szCs w:val="22"/>
        </w:rPr>
      </w:pPr>
      <w:bookmarkStart w:id="4" w:name="_Toc234679162"/>
      <w:r w:rsidRPr="003D4166">
        <w:rPr>
          <w:rFonts w:asciiTheme="minorBidi" w:hAnsiTheme="minorBidi" w:cstheme="minorBidi"/>
          <w:b/>
          <w:bCs/>
          <w:color w:val="2E5B8C"/>
          <w:sz w:val="22"/>
          <w:szCs w:val="22"/>
        </w:rPr>
        <w:t>2.2 Objectives</w:t>
      </w:r>
      <w:bookmarkEnd w:id="4"/>
    </w:p>
    <w:p w14:paraId="44BD6E25" w14:textId="77777777" w:rsidR="00C135DC" w:rsidRPr="003D4166" w:rsidRDefault="00000000">
      <w:pPr>
        <w:pStyle w:val="ListParagraph"/>
        <w:numPr>
          <w:ilvl w:val="0"/>
          <w:numId w:val="3"/>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To identify, from the perspective of medical students, residents/trainees, and consultants/subspecialists, which specific low-value diagnostic or therapeutic practices in REI are perceived to be common in local practice.</w:t>
      </w:r>
    </w:p>
    <w:p w14:paraId="32375F7A" w14:textId="77777777" w:rsidR="00C135DC" w:rsidRPr="003D4166" w:rsidRDefault="00000000">
      <w:pPr>
        <w:pStyle w:val="ListParagraph"/>
        <w:numPr>
          <w:ilvl w:val="0"/>
          <w:numId w:val="3"/>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To map participants' accounts of barriers and enablers to each of the 14 TDF domains.</w:t>
      </w:r>
    </w:p>
    <w:p w14:paraId="1156A397" w14:textId="77777777" w:rsidR="00C135DC" w:rsidRPr="003D4166" w:rsidRDefault="00000000">
      <w:pPr>
        <w:pStyle w:val="ListParagraph"/>
        <w:numPr>
          <w:ilvl w:val="0"/>
          <w:numId w:val="3"/>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To compare perceived barriers and enablers across career stages, and between general obstetrician-gynaecologists and REI subspecialists, to identify where in the education-to-practice continuum low-value practices are introduced, reinforced, or could be interrupted.</w:t>
      </w:r>
    </w:p>
    <w:p w14:paraId="43CE8A48" w14:textId="77777777" w:rsidR="00C135DC" w:rsidRPr="003D4166" w:rsidRDefault="00000000">
      <w:pPr>
        <w:pStyle w:val="ListParagraph"/>
        <w:numPr>
          <w:ilvl w:val="0"/>
          <w:numId w:val="3"/>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To describe participant-identified mechanisms of transmission of practice norms in a field with significant private-sector and out-of-pocket payment involvement (e.g., commercial pressures, patient expectations, direct-to-consumer marketing of tests/treatments).</w:t>
      </w:r>
    </w:p>
    <w:p w14:paraId="659BCF5C" w14:textId="77777777" w:rsidR="00C135DC" w:rsidRPr="003D4166" w:rsidRDefault="00000000">
      <w:pPr>
        <w:pStyle w:val="ListParagraph"/>
        <w:numPr>
          <w:ilvl w:val="0"/>
          <w:numId w:val="3"/>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To generate a theory-informed foundation for a future behaviour-change intervention targeting evidence-based, staged management of subfertility.</w:t>
      </w:r>
    </w:p>
    <w:p w14:paraId="256EE925" w14:textId="77777777" w:rsidR="00C135DC" w:rsidRPr="003D4166" w:rsidRDefault="00000000">
      <w:pPr>
        <w:pStyle w:val="Heading1"/>
        <w:spacing w:before="360" w:after="160"/>
        <w:rPr>
          <w:rFonts w:asciiTheme="minorBidi" w:hAnsiTheme="minorBidi" w:cstheme="minorBidi"/>
          <w:sz w:val="22"/>
          <w:szCs w:val="22"/>
        </w:rPr>
      </w:pPr>
      <w:bookmarkStart w:id="5" w:name="_Toc234679163"/>
      <w:r w:rsidRPr="003D4166">
        <w:rPr>
          <w:rFonts w:asciiTheme="minorBidi" w:hAnsiTheme="minorBidi" w:cstheme="minorBidi"/>
          <w:b/>
          <w:bCs/>
          <w:color w:val="1F3864"/>
          <w:sz w:val="22"/>
          <w:szCs w:val="22"/>
        </w:rPr>
        <w:t>3. Research Questions</w:t>
      </w:r>
      <w:bookmarkEnd w:id="5"/>
    </w:p>
    <w:p w14:paraId="2AF2F96C" w14:textId="77777777" w:rsidR="00C135DC" w:rsidRPr="003D4166" w:rsidRDefault="00000000">
      <w:pPr>
        <w:pStyle w:val="ListParagraph"/>
        <w:numPr>
          <w:ilvl w:val="0"/>
          <w:numId w:val="3"/>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What are the perceived barriers and enablers, mapped to the 14 TDF domains, that sustain low-value practices related to reproductive endocrinology and infertility (REI) across medical education, clinical training, and clinical practice?</w:t>
      </w:r>
    </w:p>
    <w:p w14:paraId="46577AED" w14:textId="77777777" w:rsidR="00C135DC" w:rsidRPr="003D4166" w:rsidRDefault="00000000">
      <w:pPr>
        <w:pStyle w:val="ListParagraph"/>
        <w:numPr>
          <w:ilvl w:val="0"/>
          <w:numId w:val="3"/>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How do these barriers and enablers differ (or overlap) across career stages — medical students, residents/trainees, and consultants?</w:t>
      </w:r>
    </w:p>
    <w:p w14:paraId="2513B602" w14:textId="77777777" w:rsidR="00C135DC" w:rsidRPr="003D4166" w:rsidRDefault="00000000">
      <w:pPr>
        <w:pStyle w:val="ListParagraph"/>
        <w:numPr>
          <w:ilvl w:val="0"/>
          <w:numId w:val="3"/>
        </w:numPr>
        <w:spacing w:after="80" w:line="276" w:lineRule="auto"/>
        <w:rPr>
          <w:rFonts w:asciiTheme="minorBidi" w:hAnsiTheme="minorBidi" w:cstheme="minorBidi"/>
          <w:sz w:val="22"/>
          <w:szCs w:val="22"/>
        </w:rPr>
      </w:pPr>
      <w:r w:rsidRPr="003D4166">
        <w:rPr>
          <w:rFonts w:asciiTheme="minorBidi" w:hAnsiTheme="minorBidi" w:cstheme="minorBidi"/>
          <w:sz w:val="22"/>
          <w:szCs w:val="22"/>
        </w:rPr>
        <w:lastRenderedPageBreak/>
        <w:t>What mechanisms (formal curricula, role-modelling, informal culture, resource constraints, incentive structures) are perceived to transmit these practices from one generation of clinicians to the next?</w:t>
      </w:r>
    </w:p>
    <w:p w14:paraId="003A3163" w14:textId="77777777" w:rsidR="00C135DC" w:rsidRPr="003D4166" w:rsidRDefault="00000000">
      <w:pPr>
        <w:pStyle w:val="ListParagraph"/>
        <w:numPr>
          <w:ilvl w:val="0"/>
          <w:numId w:val="3"/>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What do participants identify as feasible entry points for change at each stage of the education-to-practice continuum?</w:t>
      </w:r>
    </w:p>
    <w:p w14:paraId="53856174" w14:textId="77777777" w:rsidR="00C135DC" w:rsidRPr="003D4166" w:rsidRDefault="00000000">
      <w:pPr>
        <w:pStyle w:val="Heading1"/>
        <w:spacing w:before="360" w:after="160"/>
        <w:rPr>
          <w:rFonts w:asciiTheme="minorBidi" w:hAnsiTheme="minorBidi" w:cstheme="minorBidi"/>
          <w:sz w:val="22"/>
          <w:szCs w:val="22"/>
        </w:rPr>
      </w:pPr>
      <w:bookmarkStart w:id="6" w:name="_Toc234679164"/>
      <w:r w:rsidRPr="003D4166">
        <w:rPr>
          <w:rFonts w:asciiTheme="minorBidi" w:hAnsiTheme="minorBidi" w:cstheme="minorBidi"/>
          <w:b/>
          <w:bCs/>
          <w:color w:val="1F3864"/>
          <w:sz w:val="22"/>
          <w:szCs w:val="22"/>
        </w:rPr>
        <w:t>4. Study Design</w:t>
      </w:r>
      <w:bookmarkEnd w:id="6"/>
    </w:p>
    <w:p w14:paraId="3EF88BB7"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This is a qualitative descriptive study using focus group discussions (FGDs), analysed using framework analysis with the TDF as the a priori coding framework (a directed/deductive qualitative content analysis approach, supplemented by inductive coding for content that falls outside the framework). The study follows the Consolidated Criteria for Reporting Qualitative Research (COREQ) checklist for design, conduct, and reporting.</w:t>
      </w:r>
    </w:p>
    <w:p w14:paraId="6014B4E9" w14:textId="77777777" w:rsidR="00C135DC" w:rsidRPr="003D4166" w:rsidRDefault="00000000">
      <w:pPr>
        <w:pStyle w:val="Heading2"/>
        <w:spacing w:before="260" w:after="120"/>
        <w:rPr>
          <w:rFonts w:asciiTheme="minorBidi" w:hAnsiTheme="minorBidi" w:cstheme="minorBidi"/>
          <w:sz w:val="22"/>
          <w:szCs w:val="22"/>
        </w:rPr>
      </w:pPr>
      <w:bookmarkStart w:id="7" w:name="_Toc234679165"/>
      <w:r w:rsidRPr="003D4166">
        <w:rPr>
          <w:rFonts w:asciiTheme="minorBidi" w:hAnsiTheme="minorBidi" w:cstheme="minorBidi"/>
          <w:b/>
          <w:bCs/>
          <w:color w:val="2E5B8C"/>
          <w:sz w:val="22"/>
          <w:szCs w:val="22"/>
        </w:rPr>
        <w:t>4.1 Theoretical and Methodological Orientation</w:t>
      </w:r>
      <w:bookmarkEnd w:id="7"/>
    </w:p>
    <w:p w14:paraId="156D28C9"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The study is situated within a critical realist/contextualist paradigm: participants' accounts are treated as meaningful reports of real barriers and enablers operating in their training and practice environment, while acknowledging that these accounts are shaped by social context, hierarchy, and professional identity. Framework analysis is chosen because it accommodates a pre-specified theoretical structure (the TDF) while remaining open to emergent themes, and produces an output (a domain-by-participant-group matrix) that is directly actionable for subsequent intervention design.</w:t>
      </w:r>
    </w:p>
    <w:p w14:paraId="17C26E34" w14:textId="77777777" w:rsidR="00C135DC" w:rsidRPr="003D4166" w:rsidRDefault="00000000">
      <w:pPr>
        <w:pStyle w:val="Heading1"/>
        <w:spacing w:before="360" w:after="160"/>
        <w:rPr>
          <w:rFonts w:asciiTheme="minorBidi" w:hAnsiTheme="minorBidi" w:cstheme="minorBidi"/>
          <w:sz w:val="22"/>
          <w:szCs w:val="22"/>
        </w:rPr>
      </w:pPr>
      <w:bookmarkStart w:id="8" w:name="_Toc234679166"/>
      <w:r w:rsidRPr="003D4166">
        <w:rPr>
          <w:rFonts w:asciiTheme="minorBidi" w:hAnsiTheme="minorBidi" w:cstheme="minorBidi"/>
          <w:b/>
          <w:bCs/>
          <w:color w:val="1F3864"/>
          <w:sz w:val="22"/>
          <w:szCs w:val="22"/>
        </w:rPr>
        <w:t>5. Setting</w:t>
      </w:r>
      <w:bookmarkEnd w:id="8"/>
    </w:p>
    <w:p w14:paraId="190A89CC"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The study will be conducted at [insert institution name(s) — e.g., the Faculty/College of Medicine and its affiliated teaching hospital(s)], Egypt. Sites should include settings that expose participants to the full continuum of care relevant to reproductive endocrinology and infertility (REI) (undergraduate teaching hospital, residency training rotations, and referral/tertiary practice), and, where feasible, more than one institution to capture variation in local culture and resources.</w:t>
      </w:r>
    </w:p>
    <w:p w14:paraId="445526D5" w14:textId="77777777" w:rsidR="00C135DC" w:rsidRPr="003D4166" w:rsidRDefault="00000000">
      <w:pPr>
        <w:pStyle w:val="Heading1"/>
        <w:spacing w:before="360" w:after="160"/>
        <w:rPr>
          <w:rFonts w:asciiTheme="minorBidi" w:hAnsiTheme="minorBidi" w:cstheme="minorBidi"/>
          <w:sz w:val="22"/>
          <w:szCs w:val="22"/>
        </w:rPr>
      </w:pPr>
      <w:bookmarkStart w:id="9" w:name="_Toc234679167"/>
      <w:r w:rsidRPr="003D4166">
        <w:rPr>
          <w:rFonts w:asciiTheme="minorBidi" w:hAnsiTheme="minorBidi" w:cstheme="minorBidi"/>
          <w:b/>
          <w:bCs/>
          <w:color w:val="1F3864"/>
          <w:sz w:val="22"/>
          <w:szCs w:val="22"/>
        </w:rPr>
        <w:t>6. Participants and Sampling</w:t>
      </w:r>
      <w:bookmarkEnd w:id="9"/>
    </w:p>
    <w:p w14:paraId="11BF9D69" w14:textId="77777777" w:rsidR="00C135DC" w:rsidRPr="003D4166" w:rsidRDefault="00000000">
      <w:pPr>
        <w:pStyle w:val="Heading2"/>
        <w:spacing w:before="260" w:after="120"/>
        <w:rPr>
          <w:rFonts w:asciiTheme="minorBidi" w:hAnsiTheme="minorBidi" w:cstheme="minorBidi"/>
          <w:sz w:val="22"/>
          <w:szCs w:val="22"/>
        </w:rPr>
      </w:pPr>
      <w:bookmarkStart w:id="10" w:name="_Toc234679168"/>
      <w:r w:rsidRPr="003D4166">
        <w:rPr>
          <w:rFonts w:asciiTheme="minorBidi" w:hAnsiTheme="minorBidi" w:cstheme="minorBidi"/>
          <w:b/>
          <w:bCs/>
          <w:color w:val="2E5B8C"/>
          <w:sz w:val="22"/>
          <w:szCs w:val="22"/>
        </w:rPr>
        <w:t>6.1 Population</w:t>
      </w:r>
      <w:bookmarkEnd w:id="10"/>
    </w:p>
    <w:p w14:paraId="7F068B6C"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Eligible participants are individuals actively engaged in obstetrics and gynaecology education, training, or clinical practice relevant to reproductive endocrinology and infertility (REI), specifically:</w:t>
      </w:r>
    </w:p>
    <w:p w14:paraId="391FBCF9"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Medical students with clinical exposure to gynaecology outpatient/infertility clinics.</w:t>
      </w:r>
    </w:p>
    <w:p w14:paraId="11A17759"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Obstetrics and gynaecology residents/trainees who evaluate and manage patients presenting with subfertility.</w:t>
      </w:r>
    </w:p>
    <w:p w14:paraId="7A6C5178"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lastRenderedPageBreak/>
        <w:t>Consultant/attending obstetrician-gynaecologists and REI subspecialists who provide diagnostic work-up, ovulation induction, and/or ART services, including those practising in both public/academic and private settings.</w:t>
      </w:r>
    </w:p>
    <w:p w14:paraId="287E5504" w14:textId="77777777" w:rsidR="00C135DC" w:rsidRPr="003D4166" w:rsidRDefault="00000000">
      <w:pPr>
        <w:pStyle w:val="Heading2"/>
        <w:spacing w:before="260" w:after="120"/>
        <w:rPr>
          <w:rFonts w:asciiTheme="minorBidi" w:hAnsiTheme="minorBidi" w:cstheme="minorBidi"/>
          <w:sz w:val="22"/>
          <w:szCs w:val="22"/>
        </w:rPr>
      </w:pPr>
      <w:bookmarkStart w:id="11" w:name="_Toc234679169"/>
      <w:r w:rsidRPr="003D4166">
        <w:rPr>
          <w:rFonts w:asciiTheme="minorBidi" w:hAnsiTheme="minorBidi" w:cstheme="minorBidi"/>
          <w:b/>
          <w:bCs/>
          <w:color w:val="2E5B8C"/>
          <w:sz w:val="22"/>
          <w:szCs w:val="22"/>
        </w:rPr>
        <w:t>6.2 Sampling Strategy</w:t>
      </w:r>
      <w:bookmarkEnd w:id="11"/>
    </w:p>
    <w:p w14:paraId="11904E00"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Purposive maximum-variation sampling will be used, stratifying by career stage (as above) and, within strata, by gender, years of experience/training level, and institutional affiliation, to capture a broad range of perspectives. Homogeneous groups by seniority/hierarchy level will be used for each FGD (rather than mixing students, trainees, and consultants within the same group) to reduce the influence of hierarchy on disclosure and to allow within-group comparison across strata.</w:t>
      </w:r>
    </w:p>
    <w:p w14:paraId="680D1DC7" w14:textId="77777777" w:rsidR="00C135DC" w:rsidRPr="003D4166" w:rsidRDefault="00000000">
      <w:pPr>
        <w:pStyle w:val="Heading2"/>
        <w:spacing w:before="260" w:after="120"/>
        <w:rPr>
          <w:rFonts w:asciiTheme="minorBidi" w:hAnsiTheme="minorBidi" w:cstheme="minorBidi"/>
          <w:sz w:val="22"/>
          <w:szCs w:val="22"/>
        </w:rPr>
      </w:pPr>
      <w:bookmarkStart w:id="12" w:name="_Toc234679170"/>
      <w:r w:rsidRPr="003D4166">
        <w:rPr>
          <w:rFonts w:asciiTheme="minorBidi" w:hAnsiTheme="minorBidi" w:cstheme="minorBidi"/>
          <w:b/>
          <w:bCs/>
          <w:color w:val="2E5B8C"/>
          <w:sz w:val="22"/>
          <w:szCs w:val="22"/>
        </w:rPr>
        <w:t>6.3 Sample Size</w:t>
      </w:r>
      <w:bookmarkEnd w:id="12"/>
    </w:p>
    <w:p w14:paraId="5A3C5BF2" w14:textId="5D1F70E0"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 xml:space="preserve">Consistent with recommendations for FGD-based qualitative studies, we anticipate </w:t>
      </w:r>
      <w:r w:rsidR="00DF640D" w:rsidRPr="003D4166">
        <w:rPr>
          <w:rFonts w:asciiTheme="minorBidi" w:hAnsiTheme="minorBidi" w:cstheme="minorBidi"/>
          <w:sz w:val="22"/>
          <w:szCs w:val="22"/>
        </w:rPr>
        <w:t>one</w:t>
      </w:r>
      <w:r w:rsidRPr="003D4166">
        <w:rPr>
          <w:rFonts w:asciiTheme="minorBidi" w:hAnsiTheme="minorBidi" w:cstheme="minorBidi"/>
          <w:sz w:val="22"/>
          <w:szCs w:val="22"/>
        </w:rPr>
        <w:t xml:space="preserve"> group per stratum (</w:t>
      </w:r>
      <w:r w:rsidR="00DF640D" w:rsidRPr="003D4166">
        <w:rPr>
          <w:rFonts w:asciiTheme="minorBidi" w:hAnsiTheme="minorBidi" w:cstheme="minorBidi"/>
          <w:sz w:val="22"/>
          <w:szCs w:val="22"/>
        </w:rPr>
        <w:t xml:space="preserve">final year </w:t>
      </w:r>
      <w:r w:rsidRPr="003D4166">
        <w:rPr>
          <w:rFonts w:asciiTheme="minorBidi" w:hAnsiTheme="minorBidi" w:cstheme="minorBidi"/>
          <w:sz w:val="22"/>
          <w:szCs w:val="22"/>
        </w:rPr>
        <w:t xml:space="preserve">students, </w:t>
      </w:r>
      <w:r w:rsidR="00DF640D" w:rsidRPr="003D4166">
        <w:rPr>
          <w:rFonts w:asciiTheme="minorBidi" w:hAnsiTheme="minorBidi" w:cstheme="minorBidi"/>
          <w:sz w:val="22"/>
          <w:szCs w:val="22"/>
        </w:rPr>
        <w:t>house officers, residents</w:t>
      </w:r>
      <w:r w:rsidRPr="003D4166">
        <w:rPr>
          <w:rFonts w:asciiTheme="minorBidi" w:hAnsiTheme="minorBidi" w:cstheme="minorBidi"/>
          <w:sz w:val="22"/>
          <w:szCs w:val="22"/>
        </w:rPr>
        <w:t>,</w:t>
      </w:r>
      <w:r w:rsidR="00DF640D" w:rsidRPr="003D4166">
        <w:rPr>
          <w:rFonts w:asciiTheme="minorBidi" w:hAnsiTheme="minorBidi" w:cstheme="minorBidi"/>
          <w:sz w:val="22"/>
          <w:szCs w:val="22"/>
        </w:rPr>
        <w:t xml:space="preserve"> specialists,</w:t>
      </w:r>
      <w:r w:rsidRPr="003D4166">
        <w:rPr>
          <w:rFonts w:asciiTheme="minorBidi" w:hAnsiTheme="minorBidi" w:cstheme="minorBidi"/>
          <w:sz w:val="22"/>
          <w:szCs w:val="22"/>
        </w:rPr>
        <w:t xml:space="preserve"> consultants), each comprising 6–8 participants, continuing to thematic saturation. Recruitment will continue iteratively, with an interim review after each stratum's second FGD to judge whether an additional group is required.</w:t>
      </w:r>
    </w:p>
    <w:p w14:paraId="1AEF4EC9" w14:textId="77777777" w:rsidR="00C135DC" w:rsidRPr="003D4166" w:rsidRDefault="00000000">
      <w:pPr>
        <w:pStyle w:val="Heading2"/>
        <w:spacing w:before="260" w:after="120"/>
        <w:rPr>
          <w:rFonts w:asciiTheme="minorBidi" w:hAnsiTheme="minorBidi" w:cstheme="minorBidi"/>
          <w:sz w:val="22"/>
          <w:szCs w:val="22"/>
        </w:rPr>
      </w:pPr>
      <w:bookmarkStart w:id="13" w:name="_Toc234679171"/>
      <w:r w:rsidRPr="003D4166">
        <w:rPr>
          <w:rFonts w:asciiTheme="minorBidi" w:hAnsiTheme="minorBidi" w:cstheme="minorBidi"/>
          <w:b/>
          <w:bCs/>
          <w:color w:val="2E5B8C"/>
          <w:sz w:val="22"/>
          <w:szCs w:val="22"/>
        </w:rPr>
        <w:t>6.4 Inclusion and Exclusion Criteria</w:t>
      </w:r>
      <w:bookmarkEnd w:id="13"/>
    </w:p>
    <w:p w14:paraId="69AE34C8"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Inclusion: currently enrolled/employed in an eligible role at a participating institution; direct clinical or educational exposure to reproductive endocrinology and infertility (REI); willingness to provide informed consent and be audio-recorded.</w:t>
      </w:r>
    </w:p>
    <w:p w14:paraId="5B2BCC99" w14:textId="7609204E"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Exclusion: individuals directly involved in designing this study (to avoid role conflict); those unable to communicate in English; those on extended leave for the duration of data collection.</w:t>
      </w:r>
    </w:p>
    <w:p w14:paraId="3A54F1A8" w14:textId="77777777" w:rsidR="00C135DC" w:rsidRPr="003D4166" w:rsidRDefault="00000000">
      <w:pPr>
        <w:pStyle w:val="Heading2"/>
        <w:spacing w:before="260" w:after="120"/>
        <w:rPr>
          <w:rFonts w:asciiTheme="minorBidi" w:hAnsiTheme="minorBidi" w:cstheme="minorBidi"/>
          <w:sz w:val="22"/>
          <w:szCs w:val="22"/>
        </w:rPr>
      </w:pPr>
      <w:bookmarkStart w:id="14" w:name="_Toc234679172"/>
      <w:r w:rsidRPr="003D4166">
        <w:rPr>
          <w:rFonts w:asciiTheme="minorBidi" w:hAnsiTheme="minorBidi" w:cstheme="minorBidi"/>
          <w:b/>
          <w:bCs/>
          <w:color w:val="2E5B8C"/>
          <w:sz w:val="22"/>
          <w:szCs w:val="22"/>
        </w:rPr>
        <w:t>6.5 Recruitment Procedures</w:t>
      </w:r>
      <w:bookmarkEnd w:id="14"/>
    </w:p>
    <w:p w14:paraId="67C79F55"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Study announcement circulated via departmental meetings, residency program coordinators, and student/trainee representatives.</w:t>
      </w:r>
    </w:p>
    <w:p w14:paraId="70386FE5"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Interested individuals contact the research team directly (not via their direct supervisor) to reduce perceived coercion.</w:t>
      </w:r>
    </w:p>
    <w:p w14:paraId="4029933C"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Screening against inclusion/exclusion criteria and stratum quotas.</w:t>
      </w:r>
    </w:p>
    <w:p w14:paraId="160245FB"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Scheduling at a neutral, private venue outside clinical space, at a time that minimises disruption to service and does not conflict with duty hours.</w:t>
      </w:r>
    </w:p>
    <w:p w14:paraId="70437836"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Written informed consent obtained before the session; participants reminded that participation is voluntary and non-participation carries no penalty.</w:t>
      </w:r>
    </w:p>
    <w:p w14:paraId="67679B23" w14:textId="77777777" w:rsidR="00C135DC" w:rsidRPr="003D4166" w:rsidRDefault="00000000">
      <w:pPr>
        <w:pStyle w:val="Heading1"/>
        <w:spacing w:before="360" w:after="160"/>
        <w:rPr>
          <w:rFonts w:asciiTheme="minorBidi" w:hAnsiTheme="minorBidi" w:cstheme="minorBidi"/>
          <w:sz w:val="22"/>
          <w:szCs w:val="22"/>
        </w:rPr>
      </w:pPr>
      <w:bookmarkStart w:id="15" w:name="_Toc234679173"/>
      <w:r w:rsidRPr="003D4166">
        <w:rPr>
          <w:rFonts w:asciiTheme="minorBidi" w:hAnsiTheme="minorBidi" w:cstheme="minorBidi"/>
          <w:b/>
          <w:bCs/>
          <w:color w:val="1F3864"/>
          <w:sz w:val="22"/>
          <w:szCs w:val="22"/>
        </w:rPr>
        <w:t>7. Theoretical Framework: The TDF</w:t>
      </w:r>
      <w:bookmarkEnd w:id="15"/>
    </w:p>
    <w:p w14:paraId="0CB780BC"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 xml:space="preserve">The 14 TDF domains, their definitions, and how each will be operationalised in this study's topic guide, are summarised below. The full topic guide (Appendix A) uses these domains to structure </w:t>
      </w:r>
      <w:r w:rsidRPr="003D4166">
        <w:rPr>
          <w:rFonts w:asciiTheme="minorBidi" w:hAnsiTheme="minorBidi" w:cstheme="minorBidi"/>
          <w:sz w:val="22"/>
          <w:szCs w:val="22"/>
        </w:rPr>
        <w:lastRenderedPageBreak/>
        <w:t>— but not rigidly script — the discussion; the moderator will use domain-linked prompts flexibly and follow participants' own framing of issues where richer data emerges.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00"/>
      </w:tblGrid>
      <w:tr w:rsidR="00C135DC" w:rsidRPr="003D4166" w14:paraId="34DC7594" w14:textId="77777777">
        <w:trPr>
          <w:tblHeader/>
        </w:trPr>
        <w:tc>
          <w:tcPr>
            <w:tcW w:w="3200" w:type="dxa"/>
            <w:shd w:val="clear" w:color="auto" w:fill="1F3864"/>
            <w:tcMar>
              <w:top w:w="80" w:type="dxa"/>
              <w:left w:w="100" w:type="dxa"/>
              <w:bottom w:w="80" w:type="dxa"/>
              <w:right w:w="100" w:type="dxa"/>
            </w:tcMar>
            <w:vAlign w:val="center"/>
          </w:tcPr>
          <w:p w14:paraId="76D258CD" w14:textId="77777777" w:rsidR="00C135DC" w:rsidRPr="003D4166" w:rsidRDefault="00000000">
            <w:pPr>
              <w:rPr>
                <w:rFonts w:asciiTheme="minorBidi" w:hAnsiTheme="minorBidi" w:cstheme="minorBidi"/>
                <w:sz w:val="22"/>
                <w:szCs w:val="22"/>
              </w:rPr>
            </w:pPr>
            <w:r w:rsidRPr="003D4166">
              <w:rPr>
                <w:rFonts w:asciiTheme="minorBidi" w:hAnsiTheme="minorBidi" w:cstheme="minorBidi"/>
                <w:b/>
                <w:bCs/>
                <w:color w:val="FFFFFF"/>
                <w:sz w:val="22"/>
                <w:szCs w:val="22"/>
              </w:rPr>
              <w:t>TDF Domain</w:t>
            </w:r>
          </w:p>
        </w:tc>
        <w:tc>
          <w:tcPr>
            <w:tcW w:w="6600" w:type="dxa"/>
            <w:shd w:val="clear" w:color="auto" w:fill="1F3864"/>
            <w:tcMar>
              <w:top w:w="80" w:type="dxa"/>
              <w:left w:w="100" w:type="dxa"/>
              <w:bottom w:w="80" w:type="dxa"/>
              <w:right w:w="100" w:type="dxa"/>
            </w:tcMar>
            <w:vAlign w:val="center"/>
          </w:tcPr>
          <w:p w14:paraId="7EA5ACA0" w14:textId="77777777" w:rsidR="00C135DC" w:rsidRPr="003D4166" w:rsidRDefault="00000000">
            <w:pPr>
              <w:rPr>
                <w:rFonts w:asciiTheme="minorBidi" w:hAnsiTheme="minorBidi" w:cstheme="minorBidi"/>
                <w:sz w:val="22"/>
                <w:szCs w:val="22"/>
              </w:rPr>
            </w:pPr>
            <w:r w:rsidRPr="003D4166">
              <w:rPr>
                <w:rFonts w:asciiTheme="minorBidi" w:hAnsiTheme="minorBidi" w:cstheme="minorBidi"/>
                <w:b/>
                <w:bCs/>
                <w:color w:val="FFFFFF"/>
                <w:sz w:val="22"/>
                <w:szCs w:val="22"/>
              </w:rPr>
              <w:t>Definition (Cane et al., 2012)</w:t>
            </w:r>
          </w:p>
        </w:tc>
      </w:tr>
      <w:tr w:rsidR="00C135DC" w:rsidRPr="003D4166" w14:paraId="5F74731A" w14:textId="77777777">
        <w:tc>
          <w:tcPr>
            <w:tcW w:w="3200" w:type="dxa"/>
            <w:tcMar>
              <w:top w:w="80" w:type="dxa"/>
              <w:left w:w="100" w:type="dxa"/>
              <w:bottom w:w="80" w:type="dxa"/>
              <w:right w:w="100" w:type="dxa"/>
            </w:tcMar>
            <w:vAlign w:val="center"/>
          </w:tcPr>
          <w:p w14:paraId="0897878F"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Knowledge</w:t>
            </w:r>
          </w:p>
        </w:tc>
        <w:tc>
          <w:tcPr>
            <w:tcW w:w="6600" w:type="dxa"/>
            <w:tcMar>
              <w:top w:w="80" w:type="dxa"/>
              <w:left w:w="100" w:type="dxa"/>
              <w:bottom w:w="80" w:type="dxa"/>
              <w:right w:w="100" w:type="dxa"/>
            </w:tcMar>
            <w:vAlign w:val="center"/>
          </w:tcPr>
          <w:p w14:paraId="383835CB"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An awareness of the existence of something, including procedural, factual, and evidence-based knowledge.</w:t>
            </w:r>
          </w:p>
        </w:tc>
      </w:tr>
      <w:tr w:rsidR="00C135DC" w:rsidRPr="003D4166" w14:paraId="58B997CF" w14:textId="77777777">
        <w:tc>
          <w:tcPr>
            <w:tcW w:w="3200" w:type="dxa"/>
            <w:shd w:val="clear" w:color="auto" w:fill="DCE6F1"/>
            <w:tcMar>
              <w:top w:w="80" w:type="dxa"/>
              <w:left w:w="100" w:type="dxa"/>
              <w:bottom w:w="80" w:type="dxa"/>
              <w:right w:w="100" w:type="dxa"/>
            </w:tcMar>
            <w:vAlign w:val="center"/>
          </w:tcPr>
          <w:p w14:paraId="11709BCB"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Skills</w:t>
            </w:r>
          </w:p>
        </w:tc>
        <w:tc>
          <w:tcPr>
            <w:tcW w:w="6600" w:type="dxa"/>
            <w:shd w:val="clear" w:color="auto" w:fill="DCE6F1"/>
            <w:tcMar>
              <w:top w:w="80" w:type="dxa"/>
              <w:left w:w="100" w:type="dxa"/>
              <w:bottom w:w="80" w:type="dxa"/>
              <w:right w:w="100" w:type="dxa"/>
            </w:tcMar>
            <w:vAlign w:val="center"/>
          </w:tcPr>
          <w:p w14:paraId="28156B14"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An ability or proficiency acquired through practice, including interpersonal and technical skills.</w:t>
            </w:r>
          </w:p>
        </w:tc>
      </w:tr>
      <w:tr w:rsidR="00C135DC" w:rsidRPr="003D4166" w14:paraId="1E68E4BD" w14:textId="77777777">
        <w:tc>
          <w:tcPr>
            <w:tcW w:w="3200" w:type="dxa"/>
            <w:tcMar>
              <w:top w:w="80" w:type="dxa"/>
              <w:left w:w="100" w:type="dxa"/>
              <w:bottom w:w="80" w:type="dxa"/>
              <w:right w:w="100" w:type="dxa"/>
            </w:tcMar>
            <w:vAlign w:val="center"/>
          </w:tcPr>
          <w:p w14:paraId="6301CD38"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Social/Professional Role and Identity</w:t>
            </w:r>
          </w:p>
        </w:tc>
        <w:tc>
          <w:tcPr>
            <w:tcW w:w="6600" w:type="dxa"/>
            <w:tcMar>
              <w:top w:w="80" w:type="dxa"/>
              <w:left w:w="100" w:type="dxa"/>
              <w:bottom w:w="80" w:type="dxa"/>
              <w:right w:w="100" w:type="dxa"/>
            </w:tcMar>
            <w:vAlign w:val="center"/>
          </w:tcPr>
          <w:p w14:paraId="572AC232"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A coherent set of behaviours and displayed personal qualities of an individual in a social or work setting.</w:t>
            </w:r>
          </w:p>
        </w:tc>
      </w:tr>
      <w:tr w:rsidR="00C135DC" w:rsidRPr="003D4166" w14:paraId="2DA37050" w14:textId="77777777">
        <w:tc>
          <w:tcPr>
            <w:tcW w:w="3200" w:type="dxa"/>
            <w:shd w:val="clear" w:color="auto" w:fill="DCE6F1"/>
            <w:tcMar>
              <w:top w:w="80" w:type="dxa"/>
              <w:left w:w="100" w:type="dxa"/>
              <w:bottom w:w="80" w:type="dxa"/>
              <w:right w:w="100" w:type="dxa"/>
            </w:tcMar>
            <w:vAlign w:val="center"/>
          </w:tcPr>
          <w:p w14:paraId="391BE1B4"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Beliefs about Capabilities</w:t>
            </w:r>
          </w:p>
        </w:tc>
        <w:tc>
          <w:tcPr>
            <w:tcW w:w="6600" w:type="dxa"/>
            <w:shd w:val="clear" w:color="auto" w:fill="DCE6F1"/>
            <w:tcMar>
              <w:top w:w="80" w:type="dxa"/>
              <w:left w:w="100" w:type="dxa"/>
              <w:bottom w:w="80" w:type="dxa"/>
              <w:right w:w="100" w:type="dxa"/>
            </w:tcMar>
            <w:vAlign w:val="center"/>
          </w:tcPr>
          <w:p w14:paraId="7DAE9552"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Acceptance of the truth, reality, or validity about an ability, talent, or facility that a person can put to constructive use.</w:t>
            </w:r>
          </w:p>
        </w:tc>
      </w:tr>
      <w:tr w:rsidR="00C135DC" w:rsidRPr="003D4166" w14:paraId="677900F5" w14:textId="77777777">
        <w:tc>
          <w:tcPr>
            <w:tcW w:w="3200" w:type="dxa"/>
            <w:tcMar>
              <w:top w:w="80" w:type="dxa"/>
              <w:left w:w="100" w:type="dxa"/>
              <w:bottom w:w="80" w:type="dxa"/>
              <w:right w:w="100" w:type="dxa"/>
            </w:tcMar>
            <w:vAlign w:val="center"/>
          </w:tcPr>
          <w:p w14:paraId="72187AC3"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Optimism</w:t>
            </w:r>
          </w:p>
        </w:tc>
        <w:tc>
          <w:tcPr>
            <w:tcW w:w="6600" w:type="dxa"/>
            <w:tcMar>
              <w:top w:w="80" w:type="dxa"/>
              <w:left w:w="100" w:type="dxa"/>
              <w:bottom w:w="80" w:type="dxa"/>
              <w:right w:w="100" w:type="dxa"/>
            </w:tcMar>
            <w:vAlign w:val="center"/>
          </w:tcPr>
          <w:p w14:paraId="302A728B"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The confidence that things will happen for the best, or that desired goals will be attained.</w:t>
            </w:r>
          </w:p>
        </w:tc>
      </w:tr>
      <w:tr w:rsidR="00C135DC" w:rsidRPr="003D4166" w14:paraId="086E2605" w14:textId="77777777">
        <w:tc>
          <w:tcPr>
            <w:tcW w:w="3200" w:type="dxa"/>
            <w:shd w:val="clear" w:color="auto" w:fill="DCE6F1"/>
            <w:tcMar>
              <w:top w:w="80" w:type="dxa"/>
              <w:left w:w="100" w:type="dxa"/>
              <w:bottom w:w="80" w:type="dxa"/>
              <w:right w:w="100" w:type="dxa"/>
            </w:tcMar>
            <w:vAlign w:val="center"/>
          </w:tcPr>
          <w:p w14:paraId="28269544"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Beliefs about Consequences</w:t>
            </w:r>
          </w:p>
        </w:tc>
        <w:tc>
          <w:tcPr>
            <w:tcW w:w="6600" w:type="dxa"/>
            <w:shd w:val="clear" w:color="auto" w:fill="DCE6F1"/>
            <w:tcMar>
              <w:top w:w="80" w:type="dxa"/>
              <w:left w:w="100" w:type="dxa"/>
              <w:bottom w:w="80" w:type="dxa"/>
              <w:right w:w="100" w:type="dxa"/>
            </w:tcMar>
            <w:vAlign w:val="center"/>
          </w:tcPr>
          <w:p w14:paraId="6B391882"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Acceptance of the truth, reality, or validity about outcomes of a behaviour in a given situation.</w:t>
            </w:r>
          </w:p>
        </w:tc>
      </w:tr>
      <w:tr w:rsidR="00C135DC" w:rsidRPr="003D4166" w14:paraId="55D01874" w14:textId="77777777">
        <w:tc>
          <w:tcPr>
            <w:tcW w:w="3200" w:type="dxa"/>
            <w:tcMar>
              <w:top w:w="80" w:type="dxa"/>
              <w:left w:w="100" w:type="dxa"/>
              <w:bottom w:w="80" w:type="dxa"/>
              <w:right w:w="100" w:type="dxa"/>
            </w:tcMar>
            <w:vAlign w:val="center"/>
          </w:tcPr>
          <w:p w14:paraId="04B54BC9"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Reinforcement</w:t>
            </w:r>
          </w:p>
        </w:tc>
        <w:tc>
          <w:tcPr>
            <w:tcW w:w="6600" w:type="dxa"/>
            <w:tcMar>
              <w:top w:w="80" w:type="dxa"/>
              <w:left w:w="100" w:type="dxa"/>
              <w:bottom w:w="80" w:type="dxa"/>
              <w:right w:w="100" w:type="dxa"/>
            </w:tcMar>
            <w:vAlign w:val="center"/>
          </w:tcPr>
          <w:p w14:paraId="3A2919D0"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Increasing the probability of a response by arranging a dependent relationship (contingency) between the response and a given stimulus.</w:t>
            </w:r>
          </w:p>
        </w:tc>
      </w:tr>
      <w:tr w:rsidR="00C135DC" w:rsidRPr="003D4166" w14:paraId="59031257" w14:textId="77777777">
        <w:tc>
          <w:tcPr>
            <w:tcW w:w="3200" w:type="dxa"/>
            <w:shd w:val="clear" w:color="auto" w:fill="DCE6F1"/>
            <w:tcMar>
              <w:top w:w="80" w:type="dxa"/>
              <w:left w:w="100" w:type="dxa"/>
              <w:bottom w:w="80" w:type="dxa"/>
              <w:right w:w="100" w:type="dxa"/>
            </w:tcMar>
            <w:vAlign w:val="center"/>
          </w:tcPr>
          <w:p w14:paraId="2B46F674"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Intentions</w:t>
            </w:r>
          </w:p>
        </w:tc>
        <w:tc>
          <w:tcPr>
            <w:tcW w:w="6600" w:type="dxa"/>
            <w:shd w:val="clear" w:color="auto" w:fill="DCE6F1"/>
            <w:tcMar>
              <w:top w:w="80" w:type="dxa"/>
              <w:left w:w="100" w:type="dxa"/>
              <w:bottom w:w="80" w:type="dxa"/>
              <w:right w:w="100" w:type="dxa"/>
            </w:tcMar>
            <w:vAlign w:val="center"/>
          </w:tcPr>
          <w:p w14:paraId="5C699196"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A conscious decision to perform a behaviour or a resolve to act in a certain way.</w:t>
            </w:r>
          </w:p>
        </w:tc>
      </w:tr>
      <w:tr w:rsidR="00C135DC" w:rsidRPr="003D4166" w14:paraId="6E00C849" w14:textId="77777777">
        <w:tc>
          <w:tcPr>
            <w:tcW w:w="3200" w:type="dxa"/>
            <w:tcMar>
              <w:top w:w="80" w:type="dxa"/>
              <w:left w:w="100" w:type="dxa"/>
              <w:bottom w:w="80" w:type="dxa"/>
              <w:right w:w="100" w:type="dxa"/>
            </w:tcMar>
            <w:vAlign w:val="center"/>
          </w:tcPr>
          <w:p w14:paraId="65E36E31"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Goals</w:t>
            </w:r>
          </w:p>
        </w:tc>
        <w:tc>
          <w:tcPr>
            <w:tcW w:w="6600" w:type="dxa"/>
            <w:tcMar>
              <w:top w:w="80" w:type="dxa"/>
              <w:left w:w="100" w:type="dxa"/>
              <w:bottom w:w="80" w:type="dxa"/>
              <w:right w:w="100" w:type="dxa"/>
            </w:tcMar>
            <w:vAlign w:val="center"/>
          </w:tcPr>
          <w:p w14:paraId="61073ECA"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Mental representations of outcomes or end states that an individual wants to achieve.</w:t>
            </w:r>
          </w:p>
        </w:tc>
      </w:tr>
      <w:tr w:rsidR="00C135DC" w:rsidRPr="003D4166" w14:paraId="5EC29C9B" w14:textId="77777777">
        <w:tc>
          <w:tcPr>
            <w:tcW w:w="3200" w:type="dxa"/>
            <w:shd w:val="clear" w:color="auto" w:fill="DCE6F1"/>
            <w:tcMar>
              <w:top w:w="80" w:type="dxa"/>
              <w:left w:w="100" w:type="dxa"/>
              <w:bottom w:w="80" w:type="dxa"/>
              <w:right w:w="100" w:type="dxa"/>
            </w:tcMar>
            <w:vAlign w:val="center"/>
          </w:tcPr>
          <w:p w14:paraId="2F1090DB"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Memory, Attention and Decision Processes</w:t>
            </w:r>
          </w:p>
        </w:tc>
        <w:tc>
          <w:tcPr>
            <w:tcW w:w="6600" w:type="dxa"/>
            <w:shd w:val="clear" w:color="auto" w:fill="DCE6F1"/>
            <w:tcMar>
              <w:top w:w="80" w:type="dxa"/>
              <w:left w:w="100" w:type="dxa"/>
              <w:bottom w:w="80" w:type="dxa"/>
              <w:right w:w="100" w:type="dxa"/>
            </w:tcMar>
            <w:vAlign w:val="center"/>
          </w:tcPr>
          <w:p w14:paraId="2991F076"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The ability to retain information, focus selectively, and choose between alternatives.</w:t>
            </w:r>
          </w:p>
        </w:tc>
      </w:tr>
      <w:tr w:rsidR="00C135DC" w:rsidRPr="003D4166" w14:paraId="34ADC319" w14:textId="77777777">
        <w:tc>
          <w:tcPr>
            <w:tcW w:w="3200" w:type="dxa"/>
            <w:tcMar>
              <w:top w:w="80" w:type="dxa"/>
              <w:left w:w="100" w:type="dxa"/>
              <w:bottom w:w="80" w:type="dxa"/>
              <w:right w:w="100" w:type="dxa"/>
            </w:tcMar>
            <w:vAlign w:val="center"/>
          </w:tcPr>
          <w:p w14:paraId="6AFED9EC"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Environmental Context and Resources</w:t>
            </w:r>
          </w:p>
        </w:tc>
        <w:tc>
          <w:tcPr>
            <w:tcW w:w="6600" w:type="dxa"/>
            <w:tcMar>
              <w:top w:w="80" w:type="dxa"/>
              <w:left w:w="100" w:type="dxa"/>
              <w:bottom w:w="80" w:type="dxa"/>
              <w:right w:w="100" w:type="dxa"/>
            </w:tcMar>
            <w:vAlign w:val="center"/>
          </w:tcPr>
          <w:p w14:paraId="4DFB16FD"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Circumstances of one's setting that discourage or encourage development of skills/behaviour, including staffing, equipment, and workload.</w:t>
            </w:r>
          </w:p>
        </w:tc>
      </w:tr>
      <w:tr w:rsidR="00C135DC" w:rsidRPr="003D4166" w14:paraId="098DA801" w14:textId="77777777">
        <w:tc>
          <w:tcPr>
            <w:tcW w:w="3200" w:type="dxa"/>
            <w:shd w:val="clear" w:color="auto" w:fill="DCE6F1"/>
            <w:tcMar>
              <w:top w:w="80" w:type="dxa"/>
              <w:left w:w="100" w:type="dxa"/>
              <w:bottom w:w="80" w:type="dxa"/>
              <w:right w:w="100" w:type="dxa"/>
            </w:tcMar>
            <w:vAlign w:val="center"/>
          </w:tcPr>
          <w:p w14:paraId="09227219"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Social Influences</w:t>
            </w:r>
          </w:p>
        </w:tc>
        <w:tc>
          <w:tcPr>
            <w:tcW w:w="6600" w:type="dxa"/>
            <w:shd w:val="clear" w:color="auto" w:fill="DCE6F1"/>
            <w:tcMar>
              <w:top w:w="80" w:type="dxa"/>
              <w:left w:w="100" w:type="dxa"/>
              <w:bottom w:w="80" w:type="dxa"/>
              <w:right w:w="100" w:type="dxa"/>
            </w:tcMar>
            <w:vAlign w:val="center"/>
          </w:tcPr>
          <w:p w14:paraId="097FDEA9"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Interpersonal processes that can cause individuals to change their thoughts, feelings, or behaviours, including hierarchy and peer norms.</w:t>
            </w:r>
          </w:p>
        </w:tc>
      </w:tr>
      <w:tr w:rsidR="00C135DC" w:rsidRPr="003D4166" w14:paraId="4E6C76C6" w14:textId="77777777">
        <w:tc>
          <w:tcPr>
            <w:tcW w:w="3200" w:type="dxa"/>
            <w:tcMar>
              <w:top w:w="80" w:type="dxa"/>
              <w:left w:w="100" w:type="dxa"/>
              <w:bottom w:w="80" w:type="dxa"/>
              <w:right w:w="100" w:type="dxa"/>
            </w:tcMar>
            <w:vAlign w:val="center"/>
          </w:tcPr>
          <w:p w14:paraId="1A72E118"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Emotion</w:t>
            </w:r>
          </w:p>
        </w:tc>
        <w:tc>
          <w:tcPr>
            <w:tcW w:w="6600" w:type="dxa"/>
            <w:tcMar>
              <w:top w:w="80" w:type="dxa"/>
              <w:left w:w="100" w:type="dxa"/>
              <w:bottom w:w="80" w:type="dxa"/>
              <w:right w:w="100" w:type="dxa"/>
            </w:tcMar>
            <w:vAlign w:val="center"/>
          </w:tcPr>
          <w:p w14:paraId="44320812"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A complex reaction pattern involving experiential, behavioural, and physiological elements (e.g., fear of blame, discomfort with uncertainty).</w:t>
            </w:r>
          </w:p>
        </w:tc>
      </w:tr>
      <w:tr w:rsidR="00C135DC" w:rsidRPr="003D4166" w14:paraId="7AB44FFB" w14:textId="77777777">
        <w:tc>
          <w:tcPr>
            <w:tcW w:w="3200" w:type="dxa"/>
            <w:shd w:val="clear" w:color="auto" w:fill="DCE6F1"/>
            <w:tcMar>
              <w:top w:w="80" w:type="dxa"/>
              <w:left w:w="100" w:type="dxa"/>
              <w:bottom w:w="80" w:type="dxa"/>
              <w:right w:w="100" w:type="dxa"/>
            </w:tcMar>
            <w:vAlign w:val="center"/>
          </w:tcPr>
          <w:p w14:paraId="32157AC6"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Behavioural Regulation</w:t>
            </w:r>
          </w:p>
        </w:tc>
        <w:tc>
          <w:tcPr>
            <w:tcW w:w="6600" w:type="dxa"/>
            <w:shd w:val="clear" w:color="auto" w:fill="DCE6F1"/>
            <w:tcMar>
              <w:top w:w="80" w:type="dxa"/>
              <w:left w:w="100" w:type="dxa"/>
              <w:bottom w:w="80" w:type="dxa"/>
              <w:right w:w="100" w:type="dxa"/>
            </w:tcMar>
            <w:vAlign w:val="center"/>
          </w:tcPr>
          <w:p w14:paraId="7D13C688"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Anything aimed at managing or changing objectively observed or measured actions, including audit, feedback, and self-monitoring.</w:t>
            </w:r>
          </w:p>
        </w:tc>
      </w:tr>
    </w:tbl>
    <w:p w14:paraId="726D44B2" w14:textId="77777777" w:rsidR="00C135DC" w:rsidRPr="003D4166" w:rsidRDefault="00000000">
      <w:pPr>
        <w:pStyle w:val="Heading1"/>
        <w:spacing w:before="360" w:after="160"/>
        <w:rPr>
          <w:rFonts w:asciiTheme="minorBidi" w:hAnsiTheme="minorBidi" w:cstheme="minorBidi"/>
          <w:sz w:val="22"/>
          <w:szCs w:val="22"/>
        </w:rPr>
      </w:pPr>
      <w:bookmarkStart w:id="16" w:name="_Toc234679174"/>
      <w:r w:rsidRPr="003D4166">
        <w:rPr>
          <w:rFonts w:asciiTheme="minorBidi" w:hAnsiTheme="minorBidi" w:cstheme="minorBidi"/>
          <w:b/>
          <w:bCs/>
          <w:color w:val="1F3864"/>
          <w:sz w:val="22"/>
          <w:szCs w:val="22"/>
        </w:rPr>
        <w:t>8. Data Collection</w:t>
      </w:r>
      <w:bookmarkEnd w:id="16"/>
    </w:p>
    <w:p w14:paraId="64F14BE2" w14:textId="77777777" w:rsidR="00C135DC" w:rsidRPr="003D4166" w:rsidRDefault="00000000">
      <w:pPr>
        <w:pStyle w:val="Heading2"/>
        <w:spacing w:before="260" w:after="120"/>
        <w:rPr>
          <w:rFonts w:asciiTheme="minorBidi" w:hAnsiTheme="minorBidi" w:cstheme="minorBidi"/>
          <w:sz w:val="22"/>
          <w:szCs w:val="22"/>
        </w:rPr>
      </w:pPr>
      <w:bookmarkStart w:id="17" w:name="_Toc234679175"/>
      <w:r w:rsidRPr="003D4166">
        <w:rPr>
          <w:rFonts w:asciiTheme="minorBidi" w:hAnsiTheme="minorBidi" w:cstheme="minorBidi"/>
          <w:b/>
          <w:bCs/>
          <w:color w:val="2E5B8C"/>
          <w:sz w:val="22"/>
          <w:szCs w:val="22"/>
        </w:rPr>
        <w:t>8.1 Topic Guide Development</w:t>
      </w:r>
      <w:bookmarkEnd w:id="17"/>
    </w:p>
    <w:p w14:paraId="17F91A9C" w14:textId="300C0F4A"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 xml:space="preserve">The topic guide will be developed by mapping each TDF domain to open-ended questions and prompts specific to reproductive endocrinology and infertility (REI), drawing on a brief review of local guidelines, audit data (where available), and informal scoping conversations with clinical leads. The guide will be piloted with one FGD (via interviewing with two to three eligible individuals) and refined before full data collection. </w:t>
      </w:r>
    </w:p>
    <w:p w14:paraId="4A8EC8CE" w14:textId="77777777" w:rsidR="00C135DC" w:rsidRPr="003D4166" w:rsidRDefault="00000000">
      <w:pPr>
        <w:pStyle w:val="Heading2"/>
        <w:spacing w:before="260" w:after="120"/>
        <w:rPr>
          <w:rFonts w:asciiTheme="minorBidi" w:hAnsiTheme="minorBidi" w:cstheme="minorBidi"/>
          <w:sz w:val="22"/>
          <w:szCs w:val="22"/>
        </w:rPr>
      </w:pPr>
      <w:bookmarkStart w:id="18" w:name="_Toc234679176"/>
      <w:r w:rsidRPr="003D4166">
        <w:rPr>
          <w:rFonts w:asciiTheme="minorBidi" w:hAnsiTheme="minorBidi" w:cstheme="minorBidi"/>
          <w:b/>
          <w:bCs/>
          <w:color w:val="2E5B8C"/>
          <w:sz w:val="22"/>
          <w:szCs w:val="22"/>
        </w:rPr>
        <w:lastRenderedPageBreak/>
        <w:t>8.2 Conduct of Focus Groups</w:t>
      </w:r>
      <w:bookmarkEnd w:id="18"/>
    </w:p>
    <w:p w14:paraId="62BA75F4"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Each FGD will be facilitated by a trained moderator (with qualitative research experience, ideally not in a direct supervisory relationship with participants) and a co-moderator/note-taker.</w:t>
      </w:r>
    </w:p>
    <w:p w14:paraId="264BF9CB"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Sessions will last approximately 60–90 minutes, audio-recorded with participant consent, and supplemented by field notes capturing group dynamics, non-verbal cues, and contextual observations.</w:t>
      </w:r>
    </w:p>
    <w:p w14:paraId="4BBAA6A7"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A brief anonymous demographic/context questionnaire will be administered before each session (role, years of experience, institution, prior exposure to relevant guidelines/audits).</w:t>
      </w:r>
    </w:p>
    <w:p w14:paraId="52984090"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Ground rules for confidentiality and respectful disagreement will be set at the start of each session.</w:t>
      </w:r>
    </w:p>
    <w:p w14:paraId="35F1C3BB"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Sessions will conclude with a brief member-check summary read back to participants for immediate confirmation or correction.</w:t>
      </w:r>
    </w:p>
    <w:p w14:paraId="16EEBA99" w14:textId="77777777" w:rsidR="00C135DC" w:rsidRPr="003D4166" w:rsidRDefault="00000000">
      <w:pPr>
        <w:pStyle w:val="Heading2"/>
        <w:spacing w:before="260" w:after="120"/>
        <w:rPr>
          <w:rFonts w:asciiTheme="minorBidi" w:hAnsiTheme="minorBidi" w:cstheme="minorBidi"/>
          <w:sz w:val="22"/>
          <w:szCs w:val="22"/>
        </w:rPr>
      </w:pPr>
      <w:bookmarkStart w:id="19" w:name="_Toc234679177"/>
      <w:r w:rsidRPr="003D4166">
        <w:rPr>
          <w:rFonts w:asciiTheme="minorBidi" w:hAnsiTheme="minorBidi" w:cstheme="minorBidi"/>
          <w:b/>
          <w:bCs/>
          <w:color w:val="2E5B8C"/>
          <w:sz w:val="22"/>
          <w:szCs w:val="22"/>
        </w:rPr>
        <w:t>8.3 Data Management</w:t>
      </w:r>
      <w:bookmarkEnd w:id="19"/>
    </w:p>
    <w:p w14:paraId="5F793501" w14:textId="1AF44534"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Audio recordings will be transcribed verbatim in the language spoken (English) by a trained transcriptionist bound by a confidentiality agreement.</w:t>
      </w:r>
    </w:p>
    <w:p w14:paraId="47F354C2"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Transcripts will be checked against recordings for accuracy, de-identified, and assigned a participant/session code.</w:t>
      </w:r>
    </w:p>
    <w:p w14:paraId="028C182B"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Recordings, transcripts, and consent forms will be stored on an encrypted, password-protected institutional drive, accessible only to the research team, retained per institutional/IRB policy, and destroyed thereafter.</w:t>
      </w:r>
    </w:p>
    <w:p w14:paraId="5387E689" w14:textId="77777777" w:rsidR="00C135DC" w:rsidRPr="003D4166" w:rsidRDefault="00000000">
      <w:pPr>
        <w:pStyle w:val="Heading1"/>
        <w:spacing w:before="360" w:after="160"/>
        <w:rPr>
          <w:rFonts w:asciiTheme="minorBidi" w:hAnsiTheme="minorBidi" w:cstheme="minorBidi"/>
          <w:sz w:val="22"/>
          <w:szCs w:val="22"/>
        </w:rPr>
      </w:pPr>
      <w:bookmarkStart w:id="20" w:name="_Toc234679178"/>
      <w:r w:rsidRPr="003D4166">
        <w:rPr>
          <w:rFonts w:asciiTheme="minorBidi" w:hAnsiTheme="minorBidi" w:cstheme="minorBidi"/>
          <w:b/>
          <w:bCs/>
          <w:color w:val="1F3864"/>
          <w:sz w:val="22"/>
          <w:szCs w:val="22"/>
        </w:rPr>
        <w:t>9. Data Analysis</w:t>
      </w:r>
      <w:bookmarkEnd w:id="20"/>
    </w:p>
    <w:p w14:paraId="1FA40977"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Data will be analysed using Framework Analysis (Gale et al., 2013), adapted to use the 14 TDF domains as the initial deductive coding framework, following these stages:</w:t>
      </w:r>
    </w:p>
    <w:p w14:paraId="730BCFBA" w14:textId="77777777" w:rsidR="00C135DC" w:rsidRPr="003D4166" w:rsidRDefault="00000000">
      <w:pPr>
        <w:pStyle w:val="ListParagraph"/>
        <w:numPr>
          <w:ilvl w:val="0"/>
          <w:numId w:val="3"/>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Familiarisation: research team members read/re-read transcripts and listen to recordings to immerse in the data.</w:t>
      </w:r>
    </w:p>
    <w:p w14:paraId="272D06F0" w14:textId="338F8950" w:rsidR="00C135DC" w:rsidRPr="003D4166" w:rsidRDefault="00000000">
      <w:pPr>
        <w:pStyle w:val="ListParagraph"/>
        <w:numPr>
          <w:ilvl w:val="0"/>
          <w:numId w:val="3"/>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Coding: two researchers independently code a subset of transcripts (approximately 20%) deductively against the 14 TDF domains using qualitative analysis software (</w:t>
      </w:r>
      <w:r w:rsidR="00DF640D" w:rsidRPr="003D4166">
        <w:rPr>
          <w:rFonts w:asciiTheme="minorBidi" w:hAnsiTheme="minorBidi" w:cstheme="minorBidi"/>
          <w:sz w:val="22"/>
          <w:szCs w:val="22"/>
        </w:rPr>
        <w:t>QualCoder or equivalent qualitative analysis software</w:t>
      </w:r>
      <w:r w:rsidRPr="003D4166">
        <w:rPr>
          <w:rFonts w:asciiTheme="minorBidi" w:hAnsiTheme="minorBidi" w:cstheme="minorBidi"/>
          <w:sz w:val="22"/>
          <w:szCs w:val="22"/>
        </w:rPr>
        <w:t>); content that does not fit an existing domain is coded inductively and reviewed for potential new domains or sub-themes.</w:t>
      </w:r>
    </w:p>
    <w:p w14:paraId="056FDC1D" w14:textId="77777777" w:rsidR="00C135DC" w:rsidRPr="003D4166" w:rsidRDefault="00000000">
      <w:pPr>
        <w:pStyle w:val="ListParagraph"/>
        <w:numPr>
          <w:ilvl w:val="0"/>
          <w:numId w:val="3"/>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Developing a working analytical framework: codes are compared, discrepancies resolved by discussion (with a third reviewer as arbiter if needed), and a refined coding framework is agreed and applied to all remaining transcripts.</w:t>
      </w:r>
    </w:p>
    <w:p w14:paraId="2F5BFD7B" w14:textId="77777777" w:rsidR="00C135DC" w:rsidRPr="003D4166" w:rsidRDefault="00000000">
      <w:pPr>
        <w:pStyle w:val="ListParagraph"/>
        <w:numPr>
          <w:ilvl w:val="0"/>
          <w:numId w:val="3"/>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Indexing: the agreed framework is systematically applied to the full dataset.</w:t>
      </w:r>
    </w:p>
    <w:p w14:paraId="77183351" w14:textId="77777777" w:rsidR="00C135DC" w:rsidRPr="003D4166" w:rsidRDefault="00000000">
      <w:pPr>
        <w:pStyle w:val="ListParagraph"/>
        <w:numPr>
          <w:ilvl w:val="0"/>
          <w:numId w:val="3"/>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Charting: data are summarised into a framework matrix, with rows for participants/groups and columns for TDF domains, allowing comparison within and across career-stage strata.</w:t>
      </w:r>
    </w:p>
    <w:p w14:paraId="7675B03F" w14:textId="77777777" w:rsidR="00C135DC" w:rsidRPr="003D4166" w:rsidRDefault="00000000">
      <w:pPr>
        <w:pStyle w:val="ListParagraph"/>
        <w:numPr>
          <w:ilvl w:val="0"/>
          <w:numId w:val="3"/>
        </w:numPr>
        <w:spacing w:after="80" w:line="276" w:lineRule="auto"/>
        <w:rPr>
          <w:rFonts w:asciiTheme="minorBidi" w:hAnsiTheme="minorBidi" w:cstheme="minorBidi"/>
          <w:sz w:val="22"/>
          <w:szCs w:val="22"/>
        </w:rPr>
      </w:pPr>
      <w:r w:rsidRPr="003D4166">
        <w:rPr>
          <w:rFonts w:asciiTheme="minorBidi" w:hAnsiTheme="minorBidi" w:cstheme="minorBidi"/>
          <w:sz w:val="22"/>
          <w:szCs w:val="22"/>
        </w:rPr>
        <w:lastRenderedPageBreak/>
        <w:t>Mapping and interpretation: patterns within and across domains are interpreted to identify the key barriers and enablers perpetuating low-value practice in reproductive endocrinology and infertility (REI), including how mechanisms of transmission (e.g., role-modelling, hidden curriculum, resource constraints) operate across the education-to-practice continuum.</w:t>
      </w:r>
    </w:p>
    <w:p w14:paraId="1BF74A77" w14:textId="77777777" w:rsidR="00C135DC" w:rsidRPr="003D4166" w:rsidRDefault="00000000">
      <w:pPr>
        <w:pStyle w:val="ListParagraph"/>
        <w:numPr>
          <w:ilvl w:val="0"/>
          <w:numId w:val="3"/>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Domain relevance and belief-strength rating (optional, following Atkins et al., 2017): each domain may be rated for relevance based on the frequency of the belief across participants, its perceived impact on the behaviour, and the presence of conflicting beliefs, to help prioritise domains for subsequent intervention mapping (e.g., via the Behaviour Change Wheel/APEASE criteria) in later work.</w:t>
      </w:r>
    </w:p>
    <w:p w14:paraId="78F06828" w14:textId="6444ADC1"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Saturation will be judged using the concept of information power (Malterud et al., 2016) rather than a fixed a priori number of groups</w:t>
      </w:r>
      <w:r w:rsidR="007C2190" w:rsidRPr="003D4166">
        <w:rPr>
          <w:rFonts w:asciiTheme="minorBidi" w:hAnsiTheme="minorBidi" w:cstheme="minorBidi"/>
          <w:sz w:val="22"/>
          <w:szCs w:val="22"/>
        </w:rPr>
        <w:t xml:space="preserve">. </w:t>
      </w:r>
      <w:r w:rsidR="007C2190" w:rsidRPr="003D4166">
        <w:rPr>
          <w:rFonts w:asciiTheme="minorBidi" w:hAnsiTheme="minorBidi" w:cstheme="minorBidi"/>
          <w:sz w:val="22"/>
          <w:szCs w:val="22"/>
        </w:rPr>
        <w:t>The decision to cease recruitment will be documented in a saturation log detailing newly emerging codes, domain coverage, and justification for stopping data collection</w:t>
      </w:r>
      <w:r w:rsidRPr="003D4166">
        <w:rPr>
          <w:rFonts w:asciiTheme="minorBidi" w:hAnsiTheme="minorBidi" w:cstheme="minorBidi"/>
          <w:sz w:val="22"/>
          <w:szCs w:val="22"/>
        </w:rPr>
        <w:t>.</w:t>
      </w:r>
    </w:p>
    <w:p w14:paraId="39D8B7D3" w14:textId="77777777" w:rsidR="00C135DC" w:rsidRPr="003D4166" w:rsidRDefault="00000000">
      <w:pPr>
        <w:pStyle w:val="Heading1"/>
        <w:spacing w:before="360" w:after="160"/>
        <w:rPr>
          <w:rFonts w:asciiTheme="minorBidi" w:hAnsiTheme="minorBidi" w:cstheme="minorBidi"/>
          <w:sz w:val="22"/>
          <w:szCs w:val="22"/>
        </w:rPr>
      </w:pPr>
      <w:bookmarkStart w:id="21" w:name="_Toc234679179"/>
      <w:r w:rsidRPr="003D4166">
        <w:rPr>
          <w:rFonts w:asciiTheme="minorBidi" w:hAnsiTheme="minorBidi" w:cstheme="minorBidi"/>
          <w:b/>
          <w:bCs/>
          <w:color w:val="1F3864"/>
          <w:sz w:val="22"/>
          <w:szCs w:val="22"/>
        </w:rPr>
        <w:t>10. Rigour and Trustworthiness</w:t>
      </w:r>
      <w:bookmarkEnd w:id="21"/>
    </w:p>
    <w:p w14:paraId="4A10E5B4"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Trustworthiness will be addressed using Lincoln and Guba's (1985) criteria:</w:t>
      </w:r>
    </w:p>
    <w:p w14:paraId="0549123F" w14:textId="4C5F6875"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Credibility: prolonged engagement with the topic guide piloting, investigator triangulation (independent double-coding), member checking at the end of each session, and peer debriefing among the research team.</w:t>
      </w:r>
      <w:r w:rsidR="00B949CB" w:rsidRPr="003D4166">
        <w:rPr>
          <w:rFonts w:asciiTheme="minorBidi" w:hAnsiTheme="minorBidi" w:cstheme="minorBidi"/>
          <w:sz w:val="22"/>
          <w:szCs w:val="22"/>
        </w:rPr>
        <w:t xml:space="preserve"> </w:t>
      </w:r>
      <w:r w:rsidR="00B949CB" w:rsidRPr="003D4166">
        <w:rPr>
          <w:rFonts w:asciiTheme="minorBidi" w:hAnsiTheme="minorBidi" w:cstheme="minorBidi"/>
          <w:sz w:val="22"/>
          <w:szCs w:val="22"/>
        </w:rPr>
        <w:t>Coding consistency will be assessed through comparison of independently coded transcripts before consensus meetings.</w:t>
      </w:r>
    </w:p>
    <w:p w14:paraId="5F4DA4EB"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Transferability: thick description of context, participant characteristics, and institutional setting to allow readers to judge applicability elsewhere.</w:t>
      </w:r>
    </w:p>
    <w:p w14:paraId="40BCC7C1"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Dependability: an audit trail of coding decisions, a reflexive journal, and a clearly documented, theory-driven analytic process.</w:t>
      </w:r>
    </w:p>
    <w:p w14:paraId="2547FEAC"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Confirmability: use of direct, de-identified quotations to substantiate themes, and reflexive discussion of the research team's own clinical/educational positioning.</w:t>
      </w:r>
    </w:p>
    <w:p w14:paraId="5601D1DE" w14:textId="77777777" w:rsidR="00C135DC" w:rsidRPr="003D4166" w:rsidRDefault="00000000">
      <w:pPr>
        <w:pStyle w:val="Heading2"/>
        <w:spacing w:before="260" w:after="120"/>
        <w:rPr>
          <w:rFonts w:asciiTheme="minorBidi" w:hAnsiTheme="minorBidi" w:cstheme="minorBidi"/>
          <w:sz w:val="22"/>
          <w:szCs w:val="22"/>
        </w:rPr>
      </w:pPr>
      <w:bookmarkStart w:id="22" w:name="_Toc234679180"/>
      <w:r w:rsidRPr="003D4166">
        <w:rPr>
          <w:rFonts w:asciiTheme="minorBidi" w:hAnsiTheme="minorBidi" w:cstheme="minorBidi"/>
          <w:b/>
          <w:bCs/>
          <w:color w:val="2E5B8C"/>
          <w:sz w:val="22"/>
          <w:szCs w:val="22"/>
        </w:rPr>
        <w:t>10.1 Reflexivity</w:t>
      </w:r>
      <w:bookmarkEnd w:id="22"/>
    </w:p>
    <w:p w14:paraId="1EDD1322"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Because the research team includes clinician-researchers embedded in the same specialty, the team will maintain a reflexive journal throughout data collection and analysis, documenting how prior clinical experience, seniority, and institutional affiliation may shape data collection and interpretation. Where a team member has a direct supervisory relationship with potential participants, that member will not moderate the relevant FGD.</w:t>
      </w:r>
    </w:p>
    <w:p w14:paraId="2233BEE5" w14:textId="77777777" w:rsidR="00C135DC" w:rsidRPr="003D4166" w:rsidRDefault="00000000">
      <w:pPr>
        <w:pStyle w:val="Heading1"/>
        <w:spacing w:before="360" w:after="160"/>
        <w:rPr>
          <w:rFonts w:asciiTheme="minorBidi" w:hAnsiTheme="minorBidi" w:cstheme="minorBidi"/>
          <w:sz w:val="22"/>
          <w:szCs w:val="22"/>
        </w:rPr>
      </w:pPr>
      <w:bookmarkStart w:id="23" w:name="_Toc234679181"/>
      <w:r w:rsidRPr="003D4166">
        <w:rPr>
          <w:rFonts w:asciiTheme="minorBidi" w:hAnsiTheme="minorBidi" w:cstheme="minorBidi"/>
          <w:b/>
          <w:bCs/>
          <w:color w:val="1F3864"/>
          <w:sz w:val="22"/>
          <w:szCs w:val="22"/>
        </w:rPr>
        <w:t>11. Ethical Considerations</w:t>
      </w:r>
      <w:bookmarkEnd w:id="23"/>
    </w:p>
    <w:p w14:paraId="362F0BDE"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Approval will be obtained from the Institutional Review Board / Research Ethics Committee at the participating institution(s) prior to any recruitment or data collection.</w:t>
      </w:r>
    </w:p>
    <w:p w14:paraId="45E711B9"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Written informed consent will be obtained from all participants, including explicit consent to audio-recording and to the use of de-identified quotations in publications.</w:t>
      </w:r>
    </w:p>
    <w:p w14:paraId="4C9FCA63" w14:textId="0FD807C2"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lastRenderedPageBreak/>
        <w:t>Participation is voluntary</w:t>
      </w:r>
      <w:r w:rsidR="00B949CB" w:rsidRPr="003D4166">
        <w:rPr>
          <w:rFonts w:asciiTheme="minorBidi" w:hAnsiTheme="minorBidi" w:cstheme="minorBidi"/>
          <w:sz w:val="22"/>
          <w:szCs w:val="22"/>
        </w:rPr>
        <w:t>. P</w:t>
      </w:r>
      <w:r w:rsidRPr="003D4166">
        <w:rPr>
          <w:rFonts w:asciiTheme="minorBidi" w:hAnsiTheme="minorBidi" w:cstheme="minorBidi"/>
          <w:sz w:val="22"/>
          <w:szCs w:val="22"/>
        </w:rPr>
        <w:t>articipants may withdraw at any time without academic or professional penalty, and withdrawal will not be disclosed to supervisors or programme directors.</w:t>
      </w:r>
      <w:r w:rsidR="00B949CB" w:rsidRPr="003D4166">
        <w:rPr>
          <w:rFonts w:asciiTheme="minorBidi" w:hAnsiTheme="minorBidi" w:cstheme="minorBidi"/>
          <w:sz w:val="22"/>
          <w:szCs w:val="22"/>
        </w:rPr>
        <w:t xml:space="preserve"> </w:t>
      </w:r>
      <w:r w:rsidR="00B949CB" w:rsidRPr="003D4166">
        <w:rPr>
          <w:rFonts w:asciiTheme="minorBidi" w:hAnsiTheme="minorBidi" w:cstheme="minorBidi"/>
          <w:sz w:val="22"/>
          <w:szCs w:val="22"/>
        </w:rPr>
        <w:t>Participants may decline to answer any question and may pause at any time without providing a reason.</w:t>
      </w:r>
    </w:p>
    <w:p w14:paraId="29240C30" w14:textId="5E946E19"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Confidentiality will be protected through de-identification of transcripts, secure data storage, and group-based (rather than individual) reporting of findings</w:t>
      </w:r>
      <w:r w:rsidR="00B949CB" w:rsidRPr="003D4166">
        <w:rPr>
          <w:rFonts w:asciiTheme="minorBidi" w:hAnsiTheme="minorBidi" w:cstheme="minorBidi"/>
          <w:sz w:val="22"/>
          <w:szCs w:val="22"/>
        </w:rPr>
        <w:t xml:space="preserve">. </w:t>
      </w:r>
      <w:r w:rsidR="00B949CB" w:rsidRPr="003D4166">
        <w:rPr>
          <w:rFonts w:asciiTheme="minorBidi" w:hAnsiTheme="minorBidi" w:cstheme="minorBidi"/>
          <w:sz w:val="22"/>
          <w:szCs w:val="22"/>
        </w:rPr>
        <w:t>While participants will be asked to maintain confidentiality, the research team cannot guarantee that information disclosed during a focus group will not be discussed outside the session by other participants.</w:t>
      </w:r>
    </w:p>
    <w:p w14:paraId="66F44735"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Given the hierarchical nature of medical training, particular care will be taken to reassure trainees/students that critical comments about supervisors, curricula, or institutional practice will not be attributed or reported in an identifiable way, and that separating groups by seniority is intended to protect candour.</w:t>
      </w:r>
    </w:p>
    <w:p w14:paraId="445C97D1"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A protocol for managing disclosures of patient-safety concerns arising incidentally during discussion will be agreed with the IRB in advance (e.g., signposting to the appropriate institutional clinical-governance channel, handled outside the research process).</w:t>
      </w:r>
    </w:p>
    <w:p w14:paraId="2F39056B" w14:textId="77777777" w:rsidR="00C135DC" w:rsidRPr="003D4166" w:rsidRDefault="00000000">
      <w:pPr>
        <w:pStyle w:val="Heading1"/>
        <w:spacing w:before="360" w:after="160"/>
        <w:rPr>
          <w:rFonts w:asciiTheme="minorBidi" w:hAnsiTheme="minorBidi" w:cstheme="minorBidi"/>
          <w:sz w:val="22"/>
          <w:szCs w:val="22"/>
        </w:rPr>
      </w:pPr>
      <w:bookmarkStart w:id="24" w:name="_Toc234679182"/>
      <w:r w:rsidRPr="003D4166">
        <w:rPr>
          <w:rFonts w:asciiTheme="minorBidi" w:hAnsiTheme="minorBidi" w:cstheme="minorBidi"/>
          <w:b/>
          <w:bCs/>
          <w:color w:val="1F3864"/>
          <w:sz w:val="22"/>
          <w:szCs w:val="22"/>
        </w:rPr>
        <w:t>12. Research Team and Roles</w:t>
      </w:r>
      <w:bookmarkEnd w:id="24"/>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00"/>
      </w:tblGrid>
      <w:tr w:rsidR="00C135DC" w:rsidRPr="003D4166" w14:paraId="57C1D9C7" w14:textId="77777777">
        <w:trPr>
          <w:tblHeader/>
        </w:trPr>
        <w:tc>
          <w:tcPr>
            <w:tcW w:w="3000" w:type="dxa"/>
            <w:shd w:val="clear" w:color="auto" w:fill="1F3864"/>
            <w:tcMar>
              <w:top w:w="80" w:type="dxa"/>
              <w:left w:w="100" w:type="dxa"/>
              <w:bottom w:w="80" w:type="dxa"/>
              <w:right w:w="100" w:type="dxa"/>
            </w:tcMar>
            <w:vAlign w:val="center"/>
          </w:tcPr>
          <w:p w14:paraId="3991A134" w14:textId="77777777" w:rsidR="00C135DC" w:rsidRPr="003D4166" w:rsidRDefault="00000000">
            <w:pPr>
              <w:rPr>
                <w:rFonts w:asciiTheme="minorBidi" w:hAnsiTheme="minorBidi" w:cstheme="minorBidi"/>
                <w:sz w:val="22"/>
                <w:szCs w:val="22"/>
              </w:rPr>
            </w:pPr>
            <w:r w:rsidRPr="003D4166">
              <w:rPr>
                <w:rFonts w:asciiTheme="minorBidi" w:hAnsiTheme="minorBidi" w:cstheme="minorBidi"/>
                <w:b/>
                <w:bCs/>
                <w:color w:val="FFFFFF"/>
                <w:sz w:val="22"/>
                <w:szCs w:val="22"/>
              </w:rPr>
              <w:t>Role</w:t>
            </w:r>
          </w:p>
        </w:tc>
        <w:tc>
          <w:tcPr>
            <w:tcW w:w="6800" w:type="dxa"/>
            <w:shd w:val="clear" w:color="auto" w:fill="1F3864"/>
            <w:tcMar>
              <w:top w:w="80" w:type="dxa"/>
              <w:left w:w="100" w:type="dxa"/>
              <w:bottom w:w="80" w:type="dxa"/>
              <w:right w:w="100" w:type="dxa"/>
            </w:tcMar>
            <w:vAlign w:val="center"/>
          </w:tcPr>
          <w:p w14:paraId="22E21EBC" w14:textId="77777777" w:rsidR="00C135DC" w:rsidRPr="003D4166" w:rsidRDefault="00000000">
            <w:pPr>
              <w:rPr>
                <w:rFonts w:asciiTheme="minorBidi" w:hAnsiTheme="minorBidi" w:cstheme="minorBidi"/>
                <w:sz w:val="22"/>
                <w:szCs w:val="22"/>
              </w:rPr>
            </w:pPr>
            <w:r w:rsidRPr="003D4166">
              <w:rPr>
                <w:rFonts w:asciiTheme="minorBidi" w:hAnsiTheme="minorBidi" w:cstheme="minorBidi"/>
                <w:b/>
                <w:bCs/>
                <w:color w:val="FFFFFF"/>
                <w:sz w:val="22"/>
                <w:szCs w:val="22"/>
              </w:rPr>
              <w:t>Responsibilities</w:t>
            </w:r>
          </w:p>
        </w:tc>
      </w:tr>
      <w:tr w:rsidR="00C135DC" w:rsidRPr="003D4166" w14:paraId="2A426E9C" w14:textId="77777777">
        <w:tc>
          <w:tcPr>
            <w:tcW w:w="3000" w:type="dxa"/>
            <w:tcMar>
              <w:top w:w="80" w:type="dxa"/>
              <w:left w:w="100" w:type="dxa"/>
              <w:bottom w:w="80" w:type="dxa"/>
              <w:right w:w="100" w:type="dxa"/>
            </w:tcMar>
            <w:vAlign w:val="center"/>
          </w:tcPr>
          <w:p w14:paraId="42CC8C12"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Principal Investigator</w:t>
            </w:r>
          </w:p>
        </w:tc>
        <w:tc>
          <w:tcPr>
            <w:tcW w:w="6800" w:type="dxa"/>
            <w:tcMar>
              <w:top w:w="80" w:type="dxa"/>
              <w:left w:w="100" w:type="dxa"/>
              <w:bottom w:w="80" w:type="dxa"/>
              <w:right w:w="100" w:type="dxa"/>
            </w:tcMar>
            <w:vAlign w:val="center"/>
          </w:tcPr>
          <w:p w14:paraId="3C267424"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Overall protocol design, IRB liaison, oversight of analysis and dissemination.</w:t>
            </w:r>
          </w:p>
        </w:tc>
      </w:tr>
      <w:tr w:rsidR="00C135DC" w:rsidRPr="003D4166" w14:paraId="14F2A1D3" w14:textId="77777777">
        <w:tc>
          <w:tcPr>
            <w:tcW w:w="3000" w:type="dxa"/>
            <w:shd w:val="clear" w:color="auto" w:fill="DCE6F1"/>
            <w:tcMar>
              <w:top w:w="80" w:type="dxa"/>
              <w:left w:w="100" w:type="dxa"/>
              <w:bottom w:w="80" w:type="dxa"/>
              <w:right w:w="100" w:type="dxa"/>
            </w:tcMar>
            <w:vAlign w:val="center"/>
          </w:tcPr>
          <w:p w14:paraId="519A0EDE"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Co-Investigator(s) / Content Experts</w:t>
            </w:r>
          </w:p>
        </w:tc>
        <w:tc>
          <w:tcPr>
            <w:tcW w:w="6800" w:type="dxa"/>
            <w:shd w:val="clear" w:color="auto" w:fill="DCE6F1"/>
            <w:tcMar>
              <w:top w:w="80" w:type="dxa"/>
              <w:left w:w="100" w:type="dxa"/>
              <w:bottom w:w="80" w:type="dxa"/>
              <w:right w:w="100" w:type="dxa"/>
            </w:tcMar>
            <w:vAlign w:val="center"/>
          </w:tcPr>
          <w:p w14:paraId="1E393D55"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Topic guide content validation, interpretation of findings within clinical context.</w:t>
            </w:r>
          </w:p>
        </w:tc>
      </w:tr>
      <w:tr w:rsidR="00C135DC" w:rsidRPr="003D4166" w14:paraId="6569B94A" w14:textId="77777777">
        <w:tc>
          <w:tcPr>
            <w:tcW w:w="3000" w:type="dxa"/>
            <w:tcMar>
              <w:top w:w="80" w:type="dxa"/>
              <w:left w:w="100" w:type="dxa"/>
              <w:bottom w:w="80" w:type="dxa"/>
              <w:right w:w="100" w:type="dxa"/>
            </w:tcMar>
            <w:vAlign w:val="center"/>
          </w:tcPr>
          <w:p w14:paraId="3B36DB1E"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Qualitative Methodologist</w:t>
            </w:r>
          </w:p>
        </w:tc>
        <w:tc>
          <w:tcPr>
            <w:tcW w:w="6800" w:type="dxa"/>
            <w:tcMar>
              <w:top w:w="80" w:type="dxa"/>
              <w:left w:w="100" w:type="dxa"/>
              <w:bottom w:w="80" w:type="dxa"/>
              <w:right w:w="100" w:type="dxa"/>
            </w:tcMar>
            <w:vAlign w:val="center"/>
          </w:tcPr>
          <w:p w14:paraId="4280E1F8"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Topic guide structure, moderator training, framework analysis oversight.</w:t>
            </w:r>
          </w:p>
        </w:tc>
      </w:tr>
      <w:tr w:rsidR="00C135DC" w:rsidRPr="003D4166" w14:paraId="588DC396" w14:textId="77777777">
        <w:tc>
          <w:tcPr>
            <w:tcW w:w="3000" w:type="dxa"/>
            <w:shd w:val="clear" w:color="auto" w:fill="DCE6F1"/>
            <w:tcMar>
              <w:top w:w="80" w:type="dxa"/>
              <w:left w:w="100" w:type="dxa"/>
              <w:bottom w:w="80" w:type="dxa"/>
              <w:right w:w="100" w:type="dxa"/>
            </w:tcMar>
            <w:vAlign w:val="center"/>
          </w:tcPr>
          <w:p w14:paraId="23F62FB0"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Moderator(s) / Co-moderator(s)</w:t>
            </w:r>
          </w:p>
        </w:tc>
        <w:tc>
          <w:tcPr>
            <w:tcW w:w="6800" w:type="dxa"/>
            <w:shd w:val="clear" w:color="auto" w:fill="DCE6F1"/>
            <w:tcMar>
              <w:top w:w="80" w:type="dxa"/>
              <w:left w:w="100" w:type="dxa"/>
              <w:bottom w:w="80" w:type="dxa"/>
              <w:right w:w="100" w:type="dxa"/>
            </w:tcMar>
            <w:vAlign w:val="center"/>
          </w:tcPr>
          <w:p w14:paraId="36904AAE"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Conduct of FGDs, field notes, immediate post-session debrief.</w:t>
            </w:r>
          </w:p>
        </w:tc>
      </w:tr>
      <w:tr w:rsidR="00C135DC" w:rsidRPr="003D4166" w14:paraId="25CF7FD5" w14:textId="77777777">
        <w:tc>
          <w:tcPr>
            <w:tcW w:w="3000" w:type="dxa"/>
            <w:tcMar>
              <w:top w:w="80" w:type="dxa"/>
              <w:left w:w="100" w:type="dxa"/>
              <w:bottom w:w="80" w:type="dxa"/>
              <w:right w:w="100" w:type="dxa"/>
            </w:tcMar>
            <w:vAlign w:val="center"/>
          </w:tcPr>
          <w:p w14:paraId="51952B2E"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Transcriptionist</w:t>
            </w:r>
          </w:p>
        </w:tc>
        <w:tc>
          <w:tcPr>
            <w:tcW w:w="6800" w:type="dxa"/>
            <w:tcMar>
              <w:top w:w="80" w:type="dxa"/>
              <w:left w:w="100" w:type="dxa"/>
              <w:bottom w:w="80" w:type="dxa"/>
              <w:right w:w="100" w:type="dxa"/>
            </w:tcMar>
            <w:vAlign w:val="center"/>
          </w:tcPr>
          <w:p w14:paraId="62A66DCF"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Verbatim transcription and de-identification under confidentiality agreement.</w:t>
            </w:r>
          </w:p>
        </w:tc>
      </w:tr>
    </w:tbl>
    <w:p w14:paraId="2467DBDB" w14:textId="77777777" w:rsidR="00C135DC" w:rsidRPr="003D4166" w:rsidRDefault="00000000">
      <w:pPr>
        <w:pStyle w:val="Heading1"/>
        <w:spacing w:before="360" w:after="160"/>
        <w:rPr>
          <w:rFonts w:asciiTheme="minorBidi" w:hAnsiTheme="minorBidi" w:cstheme="minorBidi"/>
          <w:sz w:val="22"/>
          <w:szCs w:val="22"/>
        </w:rPr>
      </w:pPr>
      <w:bookmarkStart w:id="25" w:name="_Toc234679183"/>
      <w:r w:rsidRPr="003D4166">
        <w:rPr>
          <w:rFonts w:asciiTheme="minorBidi" w:hAnsiTheme="minorBidi" w:cstheme="minorBidi"/>
          <w:b/>
          <w:bCs/>
          <w:color w:val="1F3864"/>
          <w:sz w:val="22"/>
          <w:szCs w:val="22"/>
        </w:rPr>
        <w:t>13. Study Timeline</w:t>
      </w:r>
      <w:bookmarkEnd w:id="25"/>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000"/>
        <w:gridCol w:w="2400"/>
      </w:tblGrid>
      <w:tr w:rsidR="00C135DC" w:rsidRPr="003D4166" w14:paraId="44EC9C88" w14:textId="77777777">
        <w:trPr>
          <w:tblHeader/>
        </w:trPr>
        <w:tc>
          <w:tcPr>
            <w:tcW w:w="1400" w:type="dxa"/>
            <w:shd w:val="clear" w:color="auto" w:fill="1F3864"/>
            <w:tcMar>
              <w:top w:w="80" w:type="dxa"/>
              <w:left w:w="100" w:type="dxa"/>
              <w:bottom w:w="80" w:type="dxa"/>
              <w:right w:w="100" w:type="dxa"/>
            </w:tcMar>
            <w:vAlign w:val="center"/>
          </w:tcPr>
          <w:p w14:paraId="3F6A335B" w14:textId="77777777" w:rsidR="00C135DC" w:rsidRPr="003D4166" w:rsidRDefault="00000000">
            <w:pPr>
              <w:rPr>
                <w:rFonts w:asciiTheme="minorBidi" w:hAnsiTheme="minorBidi" w:cstheme="minorBidi"/>
                <w:sz w:val="22"/>
                <w:szCs w:val="22"/>
              </w:rPr>
            </w:pPr>
            <w:r w:rsidRPr="003D4166">
              <w:rPr>
                <w:rFonts w:asciiTheme="minorBidi" w:hAnsiTheme="minorBidi" w:cstheme="minorBidi"/>
                <w:b/>
                <w:bCs/>
                <w:color w:val="FFFFFF"/>
                <w:sz w:val="22"/>
                <w:szCs w:val="22"/>
              </w:rPr>
              <w:t>Phase</w:t>
            </w:r>
          </w:p>
        </w:tc>
        <w:tc>
          <w:tcPr>
            <w:tcW w:w="6000" w:type="dxa"/>
            <w:shd w:val="clear" w:color="auto" w:fill="1F3864"/>
            <w:tcMar>
              <w:top w:w="80" w:type="dxa"/>
              <w:left w:w="100" w:type="dxa"/>
              <w:bottom w:w="80" w:type="dxa"/>
              <w:right w:w="100" w:type="dxa"/>
            </w:tcMar>
            <w:vAlign w:val="center"/>
          </w:tcPr>
          <w:p w14:paraId="6840F8E2" w14:textId="77777777" w:rsidR="00C135DC" w:rsidRPr="003D4166" w:rsidRDefault="00000000">
            <w:pPr>
              <w:rPr>
                <w:rFonts w:asciiTheme="minorBidi" w:hAnsiTheme="minorBidi" w:cstheme="minorBidi"/>
                <w:sz w:val="22"/>
                <w:szCs w:val="22"/>
              </w:rPr>
            </w:pPr>
            <w:r w:rsidRPr="003D4166">
              <w:rPr>
                <w:rFonts w:asciiTheme="minorBidi" w:hAnsiTheme="minorBidi" w:cstheme="minorBidi"/>
                <w:b/>
                <w:bCs/>
                <w:color w:val="FFFFFF"/>
                <w:sz w:val="22"/>
                <w:szCs w:val="22"/>
              </w:rPr>
              <w:t>Activity</w:t>
            </w:r>
          </w:p>
        </w:tc>
        <w:tc>
          <w:tcPr>
            <w:tcW w:w="2400" w:type="dxa"/>
            <w:shd w:val="clear" w:color="auto" w:fill="1F3864"/>
            <w:tcMar>
              <w:top w:w="80" w:type="dxa"/>
              <w:left w:w="100" w:type="dxa"/>
              <w:bottom w:w="80" w:type="dxa"/>
              <w:right w:w="100" w:type="dxa"/>
            </w:tcMar>
            <w:vAlign w:val="center"/>
          </w:tcPr>
          <w:p w14:paraId="1F98D33D" w14:textId="77777777" w:rsidR="00C135DC" w:rsidRPr="003D4166" w:rsidRDefault="00000000">
            <w:pPr>
              <w:rPr>
                <w:rFonts w:asciiTheme="minorBidi" w:hAnsiTheme="minorBidi" w:cstheme="minorBidi"/>
                <w:sz w:val="22"/>
                <w:szCs w:val="22"/>
              </w:rPr>
            </w:pPr>
            <w:r w:rsidRPr="003D4166">
              <w:rPr>
                <w:rFonts w:asciiTheme="minorBidi" w:hAnsiTheme="minorBidi" w:cstheme="minorBidi"/>
                <w:b/>
                <w:bCs/>
                <w:color w:val="FFFFFF"/>
                <w:sz w:val="22"/>
                <w:szCs w:val="22"/>
              </w:rPr>
              <w:t>Approx. Duration</w:t>
            </w:r>
          </w:p>
        </w:tc>
      </w:tr>
      <w:tr w:rsidR="00C135DC" w:rsidRPr="003D4166" w14:paraId="4EEAF300" w14:textId="77777777">
        <w:tc>
          <w:tcPr>
            <w:tcW w:w="1400" w:type="dxa"/>
            <w:tcMar>
              <w:top w:w="80" w:type="dxa"/>
              <w:left w:w="100" w:type="dxa"/>
              <w:bottom w:w="80" w:type="dxa"/>
              <w:right w:w="100" w:type="dxa"/>
            </w:tcMar>
            <w:vAlign w:val="center"/>
          </w:tcPr>
          <w:p w14:paraId="443DF149"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1</w:t>
            </w:r>
          </w:p>
        </w:tc>
        <w:tc>
          <w:tcPr>
            <w:tcW w:w="6000" w:type="dxa"/>
            <w:tcMar>
              <w:top w:w="80" w:type="dxa"/>
              <w:left w:w="100" w:type="dxa"/>
              <w:bottom w:w="80" w:type="dxa"/>
              <w:right w:w="100" w:type="dxa"/>
            </w:tcMar>
            <w:vAlign w:val="center"/>
          </w:tcPr>
          <w:p w14:paraId="175E5C3B"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IRB approval, topic guide development and piloting</w:t>
            </w:r>
          </w:p>
        </w:tc>
        <w:tc>
          <w:tcPr>
            <w:tcW w:w="2400" w:type="dxa"/>
            <w:tcMar>
              <w:top w:w="80" w:type="dxa"/>
              <w:left w:w="100" w:type="dxa"/>
              <w:bottom w:w="80" w:type="dxa"/>
              <w:right w:w="100" w:type="dxa"/>
            </w:tcMar>
            <w:vAlign w:val="center"/>
          </w:tcPr>
          <w:p w14:paraId="1A050DB1"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6–8 weeks</w:t>
            </w:r>
          </w:p>
        </w:tc>
      </w:tr>
      <w:tr w:rsidR="00C135DC" w:rsidRPr="003D4166" w14:paraId="0E151A46" w14:textId="77777777">
        <w:tc>
          <w:tcPr>
            <w:tcW w:w="1400" w:type="dxa"/>
            <w:shd w:val="clear" w:color="auto" w:fill="DCE6F1"/>
            <w:tcMar>
              <w:top w:w="80" w:type="dxa"/>
              <w:left w:w="100" w:type="dxa"/>
              <w:bottom w:w="80" w:type="dxa"/>
              <w:right w:w="100" w:type="dxa"/>
            </w:tcMar>
            <w:vAlign w:val="center"/>
          </w:tcPr>
          <w:p w14:paraId="26792D94"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2</w:t>
            </w:r>
          </w:p>
        </w:tc>
        <w:tc>
          <w:tcPr>
            <w:tcW w:w="6000" w:type="dxa"/>
            <w:shd w:val="clear" w:color="auto" w:fill="DCE6F1"/>
            <w:tcMar>
              <w:top w:w="80" w:type="dxa"/>
              <w:left w:w="100" w:type="dxa"/>
              <w:bottom w:w="80" w:type="dxa"/>
              <w:right w:w="100" w:type="dxa"/>
            </w:tcMar>
            <w:vAlign w:val="center"/>
          </w:tcPr>
          <w:p w14:paraId="11D653CC"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Recruitment and FGD data collection</w:t>
            </w:r>
          </w:p>
        </w:tc>
        <w:tc>
          <w:tcPr>
            <w:tcW w:w="2400" w:type="dxa"/>
            <w:shd w:val="clear" w:color="auto" w:fill="DCE6F1"/>
            <w:tcMar>
              <w:top w:w="80" w:type="dxa"/>
              <w:left w:w="100" w:type="dxa"/>
              <w:bottom w:w="80" w:type="dxa"/>
              <w:right w:w="100" w:type="dxa"/>
            </w:tcMar>
            <w:vAlign w:val="center"/>
          </w:tcPr>
          <w:p w14:paraId="66596218"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8–10 weeks</w:t>
            </w:r>
          </w:p>
        </w:tc>
      </w:tr>
      <w:tr w:rsidR="00C135DC" w:rsidRPr="003D4166" w14:paraId="15EB0D0C" w14:textId="77777777">
        <w:tc>
          <w:tcPr>
            <w:tcW w:w="1400" w:type="dxa"/>
            <w:tcMar>
              <w:top w:w="80" w:type="dxa"/>
              <w:left w:w="100" w:type="dxa"/>
              <w:bottom w:w="80" w:type="dxa"/>
              <w:right w:w="100" w:type="dxa"/>
            </w:tcMar>
            <w:vAlign w:val="center"/>
          </w:tcPr>
          <w:p w14:paraId="5A9DA3F4"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3</w:t>
            </w:r>
          </w:p>
        </w:tc>
        <w:tc>
          <w:tcPr>
            <w:tcW w:w="6000" w:type="dxa"/>
            <w:tcMar>
              <w:top w:w="80" w:type="dxa"/>
              <w:left w:w="100" w:type="dxa"/>
              <w:bottom w:w="80" w:type="dxa"/>
              <w:right w:w="100" w:type="dxa"/>
            </w:tcMar>
            <w:vAlign w:val="center"/>
          </w:tcPr>
          <w:p w14:paraId="6CA7AE24"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Transcription and data management</w:t>
            </w:r>
          </w:p>
        </w:tc>
        <w:tc>
          <w:tcPr>
            <w:tcW w:w="2400" w:type="dxa"/>
            <w:tcMar>
              <w:top w:w="80" w:type="dxa"/>
              <w:left w:w="100" w:type="dxa"/>
              <w:bottom w:w="80" w:type="dxa"/>
              <w:right w:w="100" w:type="dxa"/>
            </w:tcMar>
            <w:vAlign w:val="center"/>
          </w:tcPr>
          <w:p w14:paraId="77D0877F"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4–6 weeks (overlapping with Phase 2)</w:t>
            </w:r>
          </w:p>
        </w:tc>
      </w:tr>
      <w:tr w:rsidR="00C135DC" w:rsidRPr="003D4166" w14:paraId="2EECBEEF" w14:textId="77777777">
        <w:tc>
          <w:tcPr>
            <w:tcW w:w="1400" w:type="dxa"/>
            <w:shd w:val="clear" w:color="auto" w:fill="DCE6F1"/>
            <w:tcMar>
              <w:top w:w="80" w:type="dxa"/>
              <w:left w:w="100" w:type="dxa"/>
              <w:bottom w:w="80" w:type="dxa"/>
              <w:right w:w="100" w:type="dxa"/>
            </w:tcMar>
            <w:vAlign w:val="center"/>
          </w:tcPr>
          <w:p w14:paraId="75604D36"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4</w:t>
            </w:r>
          </w:p>
        </w:tc>
        <w:tc>
          <w:tcPr>
            <w:tcW w:w="6000" w:type="dxa"/>
            <w:shd w:val="clear" w:color="auto" w:fill="DCE6F1"/>
            <w:tcMar>
              <w:top w:w="80" w:type="dxa"/>
              <w:left w:w="100" w:type="dxa"/>
              <w:bottom w:w="80" w:type="dxa"/>
              <w:right w:w="100" w:type="dxa"/>
            </w:tcMar>
            <w:vAlign w:val="center"/>
          </w:tcPr>
          <w:p w14:paraId="0A7F183E"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Framework analysis and team consensus meetings</w:t>
            </w:r>
          </w:p>
        </w:tc>
        <w:tc>
          <w:tcPr>
            <w:tcW w:w="2400" w:type="dxa"/>
            <w:shd w:val="clear" w:color="auto" w:fill="DCE6F1"/>
            <w:tcMar>
              <w:top w:w="80" w:type="dxa"/>
              <w:left w:w="100" w:type="dxa"/>
              <w:bottom w:w="80" w:type="dxa"/>
              <w:right w:w="100" w:type="dxa"/>
            </w:tcMar>
            <w:vAlign w:val="center"/>
          </w:tcPr>
          <w:p w14:paraId="48D1AD28"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8 weeks</w:t>
            </w:r>
          </w:p>
        </w:tc>
      </w:tr>
      <w:tr w:rsidR="00C135DC" w:rsidRPr="003D4166" w14:paraId="1E069C0C" w14:textId="77777777">
        <w:tc>
          <w:tcPr>
            <w:tcW w:w="1400" w:type="dxa"/>
            <w:tcMar>
              <w:top w:w="80" w:type="dxa"/>
              <w:left w:w="100" w:type="dxa"/>
              <w:bottom w:w="80" w:type="dxa"/>
              <w:right w:w="100" w:type="dxa"/>
            </w:tcMar>
            <w:vAlign w:val="center"/>
          </w:tcPr>
          <w:p w14:paraId="4B65A3C6"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5</w:t>
            </w:r>
          </w:p>
        </w:tc>
        <w:tc>
          <w:tcPr>
            <w:tcW w:w="6000" w:type="dxa"/>
            <w:tcMar>
              <w:top w:w="80" w:type="dxa"/>
              <w:left w:w="100" w:type="dxa"/>
              <w:bottom w:w="80" w:type="dxa"/>
              <w:right w:w="100" w:type="dxa"/>
            </w:tcMar>
            <w:vAlign w:val="center"/>
          </w:tcPr>
          <w:p w14:paraId="1548D1AD"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Manuscript preparation and dissemination</w:t>
            </w:r>
          </w:p>
        </w:tc>
        <w:tc>
          <w:tcPr>
            <w:tcW w:w="2400" w:type="dxa"/>
            <w:tcMar>
              <w:top w:w="80" w:type="dxa"/>
              <w:left w:w="100" w:type="dxa"/>
              <w:bottom w:w="80" w:type="dxa"/>
              <w:right w:w="100" w:type="dxa"/>
            </w:tcMar>
            <w:vAlign w:val="center"/>
          </w:tcPr>
          <w:p w14:paraId="25A09F29" w14:textId="77777777" w:rsidR="00C135DC" w:rsidRPr="003D4166" w:rsidRDefault="00000000">
            <w:pPr>
              <w:rPr>
                <w:rFonts w:asciiTheme="minorBidi" w:hAnsiTheme="minorBidi" w:cstheme="minorBidi"/>
                <w:sz w:val="22"/>
                <w:szCs w:val="22"/>
              </w:rPr>
            </w:pPr>
            <w:r w:rsidRPr="003D4166">
              <w:rPr>
                <w:rFonts w:asciiTheme="minorBidi" w:hAnsiTheme="minorBidi" w:cstheme="minorBidi"/>
                <w:color w:val="000000"/>
                <w:sz w:val="22"/>
                <w:szCs w:val="22"/>
              </w:rPr>
              <w:t>6–8 weeks</w:t>
            </w:r>
          </w:p>
        </w:tc>
      </w:tr>
    </w:tbl>
    <w:p w14:paraId="7E9D3C04" w14:textId="77777777" w:rsidR="00C135DC" w:rsidRPr="003D4166" w:rsidRDefault="00000000">
      <w:pPr>
        <w:pStyle w:val="Heading1"/>
        <w:spacing w:before="360" w:after="160"/>
        <w:rPr>
          <w:rFonts w:asciiTheme="minorBidi" w:hAnsiTheme="minorBidi" w:cstheme="minorBidi"/>
          <w:sz w:val="22"/>
          <w:szCs w:val="22"/>
        </w:rPr>
      </w:pPr>
      <w:bookmarkStart w:id="26" w:name="_Toc234679184"/>
      <w:r w:rsidRPr="003D4166">
        <w:rPr>
          <w:rFonts w:asciiTheme="minorBidi" w:hAnsiTheme="minorBidi" w:cstheme="minorBidi"/>
          <w:b/>
          <w:bCs/>
          <w:color w:val="1F3864"/>
          <w:sz w:val="22"/>
          <w:szCs w:val="22"/>
        </w:rPr>
        <w:lastRenderedPageBreak/>
        <w:t>14. Dissemination Plan</w:t>
      </w:r>
      <w:bookmarkEnd w:id="26"/>
    </w:p>
    <w:p w14:paraId="7114667A"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Findings will be summarised in a report/feedback session to participating departments and training programmes.</w:t>
      </w:r>
    </w:p>
    <w:p w14:paraId="36AC4E48"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A peer-reviewed manuscript will be prepared following COREQ reporting guidance for submission to an obstetrics and gynaecology education or medical education journal.</w:t>
      </w:r>
    </w:p>
    <w:p w14:paraId="0B43F2A8"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Findings will inform a subsequent intervention-mapping phase (e.g., using the Behaviour Change Wheel) to design targeted strategies for reducing low-value practice in reproductive endocrinology and infertility (REI) across the education-to-practice continuum; this is outside the scope of the present protocol.</w:t>
      </w:r>
    </w:p>
    <w:p w14:paraId="48C0C9FB" w14:textId="77777777" w:rsidR="00C135DC" w:rsidRPr="003D4166" w:rsidRDefault="00000000">
      <w:pPr>
        <w:pStyle w:val="Heading1"/>
        <w:spacing w:before="360" w:after="160"/>
        <w:rPr>
          <w:rFonts w:asciiTheme="minorBidi" w:hAnsiTheme="minorBidi" w:cstheme="minorBidi"/>
          <w:sz w:val="22"/>
          <w:szCs w:val="22"/>
        </w:rPr>
      </w:pPr>
      <w:bookmarkStart w:id="27" w:name="_Toc234679185"/>
      <w:r w:rsidRPr="003D4166">
        <w:rPr>
          <w:rFonts w:asciiTheme="minorBidi" w:hAnsiTheme="minorBidi" w:cstheme="minorBidi"/>
          <w:b/>
          <w:bCs/>
          <w:color w:val="1F3864"/>
          <w:sz w:val="22"/>
          <w:szCs w:val="22"/>
        </w:rPr>
        <w:t>15. Anticipated Limitations</w:t>
      </w:r>
      <w:bookmarkEnd w:id="27"/>
    </w:p>
    <w:p w14:paraId="27118FCE"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Social desirability bias may lead participants to under-report their own contribution to low-value practice; this is partly mitigated by group-based, non-attributable reporting and by framing questions around practice in general rather than individual behaviour.</w:t>
      </w:r>
    </w:p>
    <w:p w14:paraId="67C6A1B5"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Hierarchical dynamics may still influence disclosure even within homogeneous groups; experienced moderators and ground-setting will be used to mitigate this.</w:t>
      </w:r>
    </w:p>
    <w:p w14:paraId="4A368EB8"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Findings will be context-specific to the participating institution(s) and may have limited transferability to settings with different resource levels or training structures; this will be addressed through thick contextual description.</w:t>
      </w:r>
    </w:p>
    <w:p w14:paraId="2A0E0D40" w14:textId="77777777" w:rsidR="00C135DC" w:rsidRPr="003D4166" w:rsidRDefault="00000000">
      <w:pPr>
        <w:pStyle w:val="Heading1"/>
        <w:spacing w:before="360" w:after="160"/>
        <w:rPr>
          <w:rFonts w:asciiTheme="minorBidi" w:hAnsiTheme="minorBidi" w:cstheme="minorBidi"/>
          <w:sz w:val="22"/>
          <w:szCs w:val="22"/>
        </w:rPr>
      </w:pPr>
      <w:bookmarkStart w:id="28" w:name="_Toc234679186"/>
      <w:r w:rsidRPr="003D4166">
        <w:rPr>
          <w:rFonts w:asciiTheme="minorBidi" w:hAnsiTheme="minorBidi" w:cstheme="minorBidi"/>
          <w:b/>
          <w:bCs/>
          <w:color w:val="1F3864"/>
          <w:sz w:val="22"/>
          <w:szCs w:val="22"/>
        </w:rPr>
        <w:t>16. Key References</w:t>
      </w:r>
      <w:bookmarkEnd w:id="28"/>
    </w:p>
    <w:p w14:paraId="781F1302"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Atkins, L., Francis, J., Islam, R., et al. (2017). A guide to using the Theoretical Domains Framework of behaviour change to investigate implementation problems. Implementation Science, 12(1), 77.</w:t>
      </w:r>
    </w:p>
    <w:p w14:paraId="5B292DDC"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Cane, J., O'Connor, D., &amp; Michie, S. (2012). Validation of the theoretical domains framework for use in behaviour change and implementation research. Implementation Science, 7(1), 37.</w:t>
      </w:r>
    </w:p>
    <w:p w14:paraId="55D12D9B"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Gale, N.K., Heath, G., Cameron, E., Rashid, S., &amp; Redwood, S. (2013). Using the framework method for the analysis of qualitative data in multi-disciplinary health research. BMC Medical Research Methodology, 13(1), 117.</w:t>
      </w:r>
    </w:p>
    <w:p w14:paraId="54CF8799"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Malterud, K., Siersma, V.D., &amp; Guassora, A.D. (2016). Sample size in qualitative interview studies: guided by information power. Qualitative Health Research, 26(13), 1753–1760.</w:t>
      </w:r>
    </w:p>
    <w:p w14:paraId="3891CED3"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Michie, S., Johnston, M., Abraham, C., et al. (2005). Making psychological theory useful for implementing evidence based practice: a consensus approach. Quality and Safety in Health Care, 14(1), 26–33.</w:t>
      </w:r>
    </w:p>
    <w:p w14:paraId="4CB8511D"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Tong, A., Sainsbury, P., &amp; Craig, J. (2007). Consolidated criteria for reporting qualitative research (COREQ): a 32-item checklist for interviews and focus groups. International Journal for Quality in Health Care, 19(6), 349–357.</w:t>
      </w:r>
    </w:p>
    <w:p w14:paraId="560CA4EB" w14:textId="77777777" w:rsidR="00C135DC" w:rsidRPr="003D4166" w:rsidRDefault="00000000">
      <w:pPr>
        <w:rPr>
          <w:rFonts w:asciiTheme="minorBidi" w:hAnsiTheme="minorBidi" w:cstheme="minorBidi"/>
          <w:sz w:val="22"/>
          <w:szCs w:val="22"/>
        </w:rPr>
      </w:pPr>
      <w:r w:rsidRPr="003D4166">
        <w:rPr>
          <w:rFonts w:asciiTheme="minorBidi" w:hAnsiTheme="minorBidi" w:cstheme="minorBidi"/>
          <w:sz w:val="22"/>
          <w:szCs w:val="22"/>
        </w:rPr>
        <w:lastRenderedPageBreak/>
        <w:br w:type="page"/>
      </w:r>
    </w:p>
    <w:p w14:paraId="3E1FADFA" w14:textId="14D6302A" w:rsidR="00C135DC" w:rsidRPr="003D4166" w:rsidRDefault="00000000">
      <w:pPr>
        <w:pStyle w:val="Heading1"/>
        <w:spacing w:before="360" w:after="160"/>
        <w:rPr>
          <w:rFonts w:asciiTheme="minorBidi" w:hAnsiTheme="minorBidi" w:cstheme="minorBidi"/>
          <w:sz w:val="22"/>
          <w:szCs w:val="22"/>
        </w:rPr>
      </w:pPr>
      <w:bookmarkStart w:id="29" w:name="_Toc234679187"/>
      <w:r w:rsidRPr="003D4166">
        <w:rPr>
          <w:rFonts w:asciiTheme="minorBidi" w:hAnsiTheme="minorBidi" w:cstheme="minorBidi"/>
          <w:b/>
          <w:bCs/>
          <w:color w:val="1F3864"/>
          <w:sz w:val="22"/>
          <w:szCs w:val="22"/>
        </w:rPr>
        <w:lastRenderedPageBreak/>
        <w:t>Appendix A: Full Focus Group Topic Guide</w:t>
      </w:r>
      <w:bookmarkEnd w:id="29"/>
    </w:p>
    <w:p w14:paraId="60622B28" w14:textId="77777777" w:rsidR="00C135DC" w:rsidRPr="003D4166" w:rsidRDefault="00000000">
      <w:pPr>
        <w:spacing w:after="160" w:line="276" w:lineRule="auto"/>
        <w:rPr>
          <w:rFonts w:asciiTheme="minorBidi" w:hAnsiTheme="minorBidi" w:cstheme="minorBidi"/>
          <w:sz w:val="22"/>
          <w:szCs w:val="22"/>
        </w:rPr>
      </w:pPr>
      <w:r w:rsidRPr="003D4166">
        <w:rPr>
          <w:rFonts w:asciiTheme="minorBidi" w:hAnsiTheme="minorBidi" w:cstheme="minorBidi"/>
          <w:sz w:val="22"/>
          <w:szCs w:val="22"/>
        </w:rPr>
        <w:t>This draft guide should be piloted and refined locally. Timings are approximate for a 75-minute session.</w:t>
      </w:r>
    </w:p>
    <w:p w14:paraId="311E877B" w14:textId="77777777" w:rsidR="00C135DC" w:rsidRPr="003D4166" w:rsidRDefault="00000000">
      <w:pPr>
        <w:pStyle w:val="Heading2"/>
        <w:spacing w:before="260" w:after="120"/>
        <w:rPr>
          <w:rFonts w:asciiTheme="minorBidi" w:hAnsiTheme="minorBidi" w:cstheme="minorBidi"/>
          <w:sz w:val="22"/>
          <w:szCs w:val="22"/>
        </w:rPr>
      </w:pPr>
      <w:bookmarkStart w:id="30" w:name="_Toc234679188"/>
      <w:r w:rsidRPr="003D4166">
        <w:rPr>
          <w:rFonts w:asciiTheme="minorBidi" w:hAnsiTheme="minorBidi" w:cstheme="minorBidi"/>
          <w:b/>
          <w:bCs/>
          <w:color w:val="2E5B8C"/>
          <w:sz w:val="22"/>
          <w:szCs w:val="22"/>
        </w:rPr>
        <w:t>Opening (5 minutes)</w:t>
      </w:r>
      <w:bookmarkEnd w:id="30"/>
    </w:p>
    <w:p w14:paraId="7B404D60"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Welcome, introductions, purpose of the study, confidentiality reminder, consent confirmation.</w:t>
      </w:r>
    </w:p>
    <w:p w14:paraId="6CE557F4"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Ground rules: no right/wrong answers, one speaker at a time, respect differing views, everything discussed stays in the room.</w:t>
      </w:r>
    </w:p>
    <w:p w14:paraId="356C240D" w14:textId="77777777" w:rsidR="00C135DC" w:rsidRPr="003D4166" w:rsidRDefault="00000000">
      <w:pPr>
        <w:pStyle w:val="Heading2"/>
        <w:spacing w:before="260" w:after="120"/>
        <w:rPr>
          <w:rFonts w:asciiTheme="minorBidi" w:hAnsiTheme="minorBidi" w:cstheme="minorBidi"/>
          <w:sz w:val="22"/>
          <w:szCs w:val="22"/>
        </w:rPr>
      </w:pPr>
      <w:bookmarkStart w:id="31" w:name="_Toc234679189"/>
      <w:r w:rsidRPr="003D4166">
        <w:rPr>
          <w:rFonts w:asciiTheme="minorBidi" w:hAnsiTheme="minorBidi" w:cstheme="minorBidi"/>
          <w:b/>
          <w:bCs/>
          <w:color w:val="2E5B8C"/>
          <w:sz w:val="22"/>
          <w:szCs w:val="22"/>
        </w:rPr>
        <w:t>Warm-up (5–10 minutes)</w:t>
      </w:r>
      <w:bookmarkEnd w:id="31"/>
    </w:p>
    <w:p w14:paraId="10AFDCAB"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In your own words, what would you consider a "low-value" or "ineffective" practice in the context of reproductive endocrinology and infertility (REI)? Can you give an example you've personally seen?</w:t>
      </w:r>
    </w:p>
    <w:p w14:paraId="45B14CB6" w14:textId="77777777" w:rsidR="00C135DC" w:rsidRPr="003D4166" w:rsidRDefault="00000000">
      <w:pPr>
        <w:pStyle w:val="Heading2"/>
        <w:spacing w:before="260" w:after="120"/>
        <w:rPr>
          <w:rFonts w:asciiTheme="minorBidi" w:hAnsiTheme="minorBidi" w:cstheme="minorBidi"/>
          <w:sz w:val="22"/>
          <w:szCs w:val="22"/>
        </w:rPr>
      </w:pPr>
      <w:bookmarkStart w:id="32" w:name="_Toc234679190"/>
      <w:r w:rsidRPr="003D4166">
        <w:rPr>
          <w:rFonts w:asciiTheme="minorBidi" w:hAnsiTheme="minorBidi" w:cstheme="minorBidi"/>
          <w:b/>
          <w:bCs/>
          <w:color w:val="2E5B8C"/>
          <w:sz w:val="22"/>
          <w:szCs w:val="22"/>
        </w:rPr>
        <w:t>Core Discussion — Mapped to TDF Domains (45–55 minutes)</w:t>
      </w:r>
      <w:bookmarkEnd w:id="32"/>
    </w:p>
    <w:p w14:paraId="6B7FD95A" w14:textId="77777777" w:rsidR="0067178D" w:rsidRPr="003D4166" w:rsidRDefault="0067178D" w:rsidP="0067178D">
      <w:pPr>
        <w:pStyle w:val="Heading1"/>
        <w:spacing w:line="300" w:lineRule="atLeast"/>
        <w:rPr>
          <w:rFonts w:asciiTheme="minorBidi" w:hAnsiTheme="minorBidi" w:cstheme="minorBidi"/>
          <w:color w:val="000000"/>
          <w:sz w:val="22"/>
          <w:szCs w:val="22"/>
        </w:rPr>
      </w:pPr>
      <w:bookmarkStart w:id="33" w:name="_Toc234679191"/>
      <w:r w:rsidRPr="003D4166">
        <w:rPr>
          <w:rFonts w:asciiTheme="minorBidi" w:hAnsiTheme="minorBidi" w:cstheme="minorBidi"/>
          <w:color w:val="000000"/>
          <w:sz w:val="22"/>
          <w:szCs w:val="22"/>
        </w:rPr>
        <w:t>1. Knowledge</w:t>
      </w:r>
    </w:p>
    <w:p w14:paraId="22C23E91"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Primary question</w:t>
      </w:r>
    </w:p>
    <w:p w14:paraId="10E717AC"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What is your understanding of the recommended evidence-based approach to infertility investigation and management, and how does it compare with what happens in practice?</w:t>
      </w:r>
    </w:p>
    <w:p w14:paraId="0C83D08B"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Prompts</w:t>
      </w:r>
    </w:p>
    <w:p w14:paraId="37E41AAC" w14:textId="77777777" w:rsidR="0067178D" w:rsidRPr="003D4166" w:rsidRDefault="0067178D" w:rsidP="0067178D">
      <w:pPr>
        <w:numPr>
          <w:ilvl w:val="0"/>
          <w:numId w:val="4"/>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Which guidelines or sources of evidence do clinicians commonly use?</w:t>
      </w:r>
    </w:p>
    <w:p w14:paraId="44DFF879" w14:textId="77777777" w:rsidR="0067178D" w:rsidRPr="003D4166" w:rsidRDefault="0067178D" w:rsidP="0067178D">
      <w:pPr>
        <w:numPr>
          <w:ilvl w:val="0"/>
          <w:numId w:val="4"/>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Where do you see differences between guidelines and actual practice?</w:t>
      </w:r>
    </w:p>
    <w:p w14:paraId="5F4C1871" w14:textId="77777777" w:rsidR="0067178D" w:rsidRPr="003D4166" w:rsidRDefault="0067178D" w:rsidP="0067178D">
      <w:pPr>
        <w:numPr>
          <w:ilvl w:val="0"/>
          <w:numId w:val="4"/>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Are there practices that continue despite evidence against them?</w:t>
      </w:r>
    </w:p>
    <w:p w14:paraId="055282C4" w14:textId="77777777" w:rsidR="0067178D" w:rsidRPr="003D4166" w:rsidRDefault="0067178D" w:rsidP="0067178D">
      <w:pPr>
        <w:numPr>
          <w:ilvl w:val="0"/>
          <w:numId w:val="4"/>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How are trainees taught about evidence-based infertility care?</w:t>
      </w:r>
    </w:p>
    <w:p w14:paraId="496F5944" w14:textId="77777777" w:rsidR="0067178D" w:rsidRPr="003D4166" w:rsidRDefault="00383460" w:rsidP="0067178D">
      <w:pPr>
        <w:spacing w:line="300" w:lineRule="atLeast"/>
        <w:rPr>
          <w:rFonts w:asciiTheme="minorBidi" w:hAnsiTheme="minorBidi" w:cstheme="minorBidi"/>
          <w:color w:val="000000"/>
          <w:sz w:val="22"/>
          <w:szCs w:val="22"/>
        </w:rPr>
      </w:pPr>
      <w:r>
        <w:rPr>
          <w:noProof/>
        </w:rPr>
      </w:r>
      <w:r>
        <w:pict w14:anchorId="03402DB4">
          <v:rect id="Horizontal Line 1"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C06B28" w14:textId="77777777" w:rsidR="0067178D" w:rsidRPr="003D4166" w:rsidRDefault="0067178D" w:rsidP="0067178D">
      <w:pPr>
        <w:pStyle w:val="Heading1"/>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2. Skills</w:t>
      </w:r>
    </w:p>
    <w:p w14:paraId="23DBB520"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Primary question</w:t>
      </w:r>
    </w:p>
    <w:p w14:paraId="3EC04D10"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What skills are needed to provide evidence-based infertility care and avoid unnecessary tests or treatments?</w:t>
      </w:r>
    </w:p>
    <w:p w14:paraId="725940BE"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Prompts</w:t>
      </w:r>
    </w:p>
    <w:p w14:paraId="6515A25F" w14:textId="77777777" w:rsidR="0067178D" w:rsidRPr="003D4166" w:rsidRDefault="0067178D" w:rsidP="0067178D">
      <w:pPr>
        <w:numPr>
          <w:ilvl w:val="0"/>
          <w:numId w:val="5"/>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How confident are clinicians in counselling patients about conservative or staged management?</w:t>
      </w:r>
    </w:p>
    <w:p w14:paraId="0A02FF31" w14:textId="77777777" w:rsidR="0067178D" w:rsidRPr="003D4166" w:rsidRDefault="0067178D" w:rsidP="0067178D">
      <w:pPr>
        <w:numPr>
          <w:ilvl w:val="0"/>
          <w:numId w:val="5"/>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lastRenderedPageBreak/>
        <w:t>Are there communication skills that are particularly important?</w:t>
      </w:r>
    </w:p>
    <w:p w14:paraId="3004A4C3" w14:textId="77777777" w:rsidR="0067178D" w:rsidRPr="003D4166" w:rsidRDefault="0067178D" w:rsidP="0067178D">
      <w:pPr>
        <w:numPr>
          <w:ilvl w:val="0"/>
          <w:numId w:val="5"/>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What skills help clinicians resist pressure for unnecessary interventions?</w:t>
      </w:r>
    </w:p>
    <w:p w14:paraId="3D319BE4" w14:textId="77777777" w:rsidR="0067178D" w:rsidRPr="003D4166" w:rsidRDefault="0067178D" w:rsidP="0067178D">
      <w:pPr>
        <w:numPr>
          <w:ilvl w:val="0"/>
          <w:numId w:val="5"/>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Are there gaps in training that contribute to low-value practices?</w:t>
      </w:r>
    </w:p>
    <w:p w14:paraId="33364582" w14:textId="77777777" w:rsidR="0067178D" w:rsidRPr="003D4166" w:rsidRDefault="00383460" w:rsidP="0067178D">
      <w:pPr>
        <w:spacing w:line="300" w:lineRule="atLeast"/>
        <w:rPr>
          <w:rFonts w:asciiTheme="minorBidi" w:hAnsiTheme="minorBidi" w:cstheme="minorBidi"/>
          <w:color w:val="000000"/>
          <w:sz w:val="22"/>
          <w:szCs w:val="22"/>
        </w:rPr>
      </w:pPr>
      <w:r>
        <w:rPr>
          <w:noProof/>
        </w:rPr>
      </w:r>
      <w:r>
        <w:pict w14:anchorId="314A5BCD">
          <v:rect id="Horizontal Line 2"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15513C" w14:textId="77777777" w:rsidR="0067178D" w:rsidRPr="003D4166" w:rsidRDefault="0067178D" w:rsidP="0067178D">
      <w:pPr>
        <w:pStyle w:val="Heading1"/>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3. Social/Professional Role and Identity</w:t>
      </w:r>
    </w:p>
    <w:p w14:paraId="00DA4FCE"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Primary question</w:t>
      </w:r>
    </w:p>
    <w:p w14:paraId="52343F9E"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How do clinicians view their professional role in deciding whether to recommend investigations or treatments for infertility?</w:t>
      </w:r>
    </w:p>
    <w:p w14:paraId="39796991"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Prompts</w:t>
      </w:r>
    </w:p>
    <w:p w14:paraId="01D3A477" w14:textId="77777777" w:rsidR="0067178D" w:rsidRPr="003D4166" w:rsidRDefault="0067178D" w:rsidP="0067178D">
      <w:pPr>
        <w:numPr>
          <w:ilvl w:val="0"/>
          <w:numId w:val="6"/>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What does being a "good infertility clinician" mean?</w:t>
      </w:r>
    </w:p>
    <w:p w14:paraId="2F5912F8" w14:textId="77777777" w:rsidR="0067178D" w:rsidRPr="003D4166" w:rsidRDefault="0067178D" w:rsidP="0067178D">
      <w:pPr>
        <w:numPr>
          <w:ilvl w:val="0"/>
          <w:numId w:val="6"/>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Is using advanced testing or treatment seen as a marker of expertise?</w:t>
      </w:r>
    </w:p>
    <w:p w14:paraId="07396E3F" w14:textId="77777777" w:rsidR="0067178D" w:rsidRPr="003D4166" w:rsidRDefault="0067178D" w:rsidP="0067178D">
      <w:pPr>
        <w:numPr>
          <w:ilvl w:val="0"/>
          <w:numId w:val="6"/>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How do professional expectations influence decisions?</w:t>
      </w:r>
    </w:p>
    <w:p w14:paraId="41470934" w14:textId="77777777" w:rsidR="0067178D" w:rsidRPr="003D4166" w:rsidRDefault="0067178D" w:rsidP="0067178D">
      <w:pPr>
        <w:numPr>
          <w:ilvl w:val="0"/>
          <w:numId w:val="6"/>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Do generalists and subspecialists see their roles differently?</w:t>
      </w:r>
    </w:p>
    <w:p w14:paraId="5D38F112" w14:textId="77777777" w:rsidR="0067178D" w:rsidRPr="003D4166" w:rsidRDefault="00383460" w:rsidP="0067178D">
      <w:pPr>
        <w:spacing w:line="300" w:lineRule="atLeast"/>
        <w:rPr>
          <w:rFonts w:asciiTheme="minorBidi" w:hAnsiTheme="minorBidi" w:cstheme="minorBidi"/>
          <w:color w:val="000000"/>
          <w:sz w:val="22"/>
          <w:szCs w:val="22"/>
        </w:rPr>
      </w:pPr>
      <w:r>
        <w:rPr>
          <w:noProof/>
        </w:rPr>
      </w:r>
      <w:r>
        <w:pict w14:anchorId="0B56677F">
          <v:rect id="Horizontal Line 3"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852FEE" w14:textId="77777777" w:rsidR="0067178D" w:rsidRPr="003D4166" w:rsidRDefault="0067178D" w:rsidP="0067178D">
      <w:pPr>
        <w:pStyle w:val="Heading1"/>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4. Beliefs about Capabilities</w:t>
      </w:r>
    </w:p>
    <w:p w14:paraId="4C8CA8FC"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Primary question</w:t>
      </w:r>
    </w:p>
    <w:p w14:paraId="4B3B9833"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How confident do clinicians feel about following a guideline-concordant pathway when there are pressures to do otherwise?</w:t>
      </w:r>
    </w:p>
    <w:p w14:paraId="484AAF66"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Prompts</w:t>
      </w:r>
    </w:p>
    <w:p w14:paraId="7437B1D8" w14:textId="77777777" w:rsidR="0067178D" w:rsidRPr="003D4166" w:rsidRDefault="0067178D" w:rsidP="0067178D">
      <w:pPr>
        <w:numPr>
          <w:ilvl w:val="0"/>
          <w:numId w:val="7"/>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Are clinicians confident managing uncertainty?</w:t>
      </w:r>
    </w:p>
    <w:p w14:paraId="17AEAADA" w14:textId="77777777" w:rsidR="0067178D" w:rsidRPr="003D4166" w:rsidRDefault="0067178D" w:rsidP="0067178D">
      <w:pPr>
        <w:numPr>
          <w:ilvl w:val="0"/>
          <w:numId w:val="7"/>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Are they comfortable delaying escalation to IVF when appropriate?</w:t>
      </w:r>
    </w:p>
    <w:p w14:paraId="22DD1895" w14:textId="77777777" w:rsidR="0067178D" w:rsidRPr="003D4166" w:rsidRDefault="0067178D" w:rsidP="0067178D">
      <w:pPr>
        <w:numPr>
          <w:ilvl w:val="0"/>
          <w:numId w:val="7"/>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Are some clinicians better equipped than others to follow evidence-based pathways?</w:t>
      </w:r>
    </w:p>
    <w:p w14:paraId="1704C620" w14:textId="77777777" w:rsidR="0067178D" w:rsidRPr="003D4166" w:rsidRDefault="0067178D" w:rsidP="0067178D">
      <w:pPr>
        <w:numPr>
          <w:ilvl w:val="0"/>
          <w:numId w:val="7"/>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What situations make clinicians feel less confident?</w:t>
      </w:r>
    </w:p>
    <w:p w14:paraId="2D3183BB" w14:textId="77777777" w:rsidR="0067178D" w:rsidRPr="003D4166" w:rsidRDefault="00383460" w:rsidP="0067178D">
      <w:pPr>
        <w:spacing w:line="300" w:lineRule="atLeast"/>
        <w:rPr>
          <w:rFonts w:asciiTheme="minorBidi" w:hAnsiTheme="minorBidi" w:cstheme="minorBidi"/>
          <w:color w:val="000000"/>
          <w:sz w:val="22"/>
          <w:szCs w:val="22"/>
        </w:rPr>
      </w:pPr>
      <w:r>
        <w:rPr>
          <w:noProof/>
        </w:rPr>
      </w:r>
      <w:r>
        <w:pict w14:anchorId="78CBC57C">
          <v:rect id="Horizontal Line 4"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97690F" w14:textId="77777777" w:rsidR="0067178D" w:rsidRPr="003D4166" w:rsidRDefault="0067178D" w:rsidP="0067178D">
      <w:pPr>
        <w:pStyle w:val="Heading1"/>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5. Optimism</w:t>
      </w:r>
    </w:p>
    <w:p w14:paraId="4EA65345"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Primary question</w:t>
      </w:r>
    </w:p>
    <w:p w14:paraId="5DD54A58"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How confident are clinicians that low-value infertility practices can be reduced in their setting?</w:t>
      </w:r>
    </w:p>
    <w:p w14:paraId="5A91E85C"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Prompts</w:t>
      </w:r>
    </w:p>
    <w:p w14:paraId="2A8BFBD2" w14:textId="77777777" w:rsidR="0067178D" w:rsidRPr="003D4166" w:rsidRDefault="0067178D" w:rsidP="0067178D">
      <w:pPr>
        <w:numPr>
          <w:ilvl w:val="0"/>
          <w:numId w:val="8"/>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Do people believe improvement is achievable?</w:t>
      </w:r>
    </w:p>
    <w:p w14:paraId="57487E6E" w14:textId="77777777" w:rsidR="0067178D" w:rsidRPr="003D4166" w:rsidRDefault="0067178D" w:rsidP="0067178D">
      <w:pPr>
        <w:numPr>
          <w:ilvl w:val="0"/>
          <w:numId w:val="8"/>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lastRenderedPageBreak/>
        <w:t>What factors make change seem possible?</w:t>
      </w:r>
    </w:p>
    <w:p w14:paraId="13272552" w14:textId="77777777" w:rsidR="0067178D" w:rsidRPr="003D4166" w:rsidRDefault="0067178D" w:rsidP="0067178D">
      <w:pPr>
        <w:numPr>
          <w:ilvl w:val="0"/>
          <w:numId w:val="8"/>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What barriers make change seem unlikely?</w:t>
      </w:r>
    </w:p>
    <w:p w14:paraId="5FCF68B8" w14:textId="77777777" w:rsidR="0067178D" w:rsidRPr="003D4166" w:rsidRDefault="0067178D" w:rsidP="0067178D">
      <w:pPr>
        <w:numPr>
          <w:ilvl w:val="0"/>
          <w:numId w:val="8"/>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Have you seen successful examples of practice change?</w:t>
      </w:r>
    </w:p>
    <w:p w14:paraId="32F141F2" w14:textId="77777777" w:rsidR="0067178D" w:rsidRPr="003D4166" w:rsidRDefault="00383460" w:rsidP="0067178D">
      <w:pPr>
        <w:spacing w:line="300" w:lineRule="atLeast"/>
        <w:rPr>
          <w:rFonts w:asciiTheme="minorBidi" w:hAnsiTheme="minorBidi" w:cstheme="minorBidi"/>
          <w:color w:val="000000"/>
          <w:sz w:val="22"/>
          <w:szCs w:val="22"/>
        </w:rPr>
      </w:pPr>
      <w:r>
        <w:rPr>
          <w:noProof/>
        </w:rPr>
      </w:r>
      <w:r>
        <w:pict w14:anchorId="31CC809E">
          <v:rect id="Horizontal Line 5"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7BB85A" w14:textId="77777777" w:rsidR="0067178D" w:rsidRPr="003D4166" w:rsidRDefault="0067178D" w:rsidP="0067178D">
      <w:pPr>
        <w:pStyle w:val="Heading1"/>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6. Beliefs about Consequences</w:t>
      </w:r>
    </w:p>
    <w:p w14:paraId="615C53EC"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Primary question</w:t>
      </w:r>
    </w:p>
    <w:p w14:paraId="2E0C6EE9"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What do clinicians believe are the consequences of following a strictly evidence-based infertility pathway compared with a more interventionist approach?</w:t>
      </w:r>
    </w:p>
    <w:p w14:paraId="2E07A2E2"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Prompts</w:t>
      </w:r>
    </w:p>
    <w:p w14:paraId="76008174" w14:textId="77777777" w:rsidR="0067178D" w:rsidRPr="003D4166" w:rsidRDefault="0067178D" w:rsidP="0067178D">
      <w:pPr>
        <w:numPr>
          <w:ilvl w:val="0"/>
          <w:numId w:val="9"/>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How might patient outcomes differ?</w:t>
      </w:r>
    </w:p>
    <w:p w14:paraId="0C7338AE" w14:textId="77777777" w:rsidR="0067178D" w:rsidRPr="003D4166" w:rsidRDefault="0067178D" w:rsidP="0067178D">
      <w:pPr>
        <w:numPr>
          <w:ilvl w:val="0"/>
          <w:numId w:val="9"/>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How might patient satisfaction be affected?</w:t>
      </w:r>
    </w:p>
    <w:p w14:paraId="3B521027" w14:textId="77777777" w:rsidR="0067178D" w:rsidRPr="003D4166" w:rsidRDefault="0067178D" w:rsidP="0067178D">
      <w:pPr>
        <w:numPr>
          <w:ilvl w:val="0"/>
          <w:numId w:val="9"/>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How could this affect clinicians' reputations or practices?</w:t>
      </w:r>
    </w:p>
    <w:p w14:paraId="564270B3" w14:textId="77777777" w:rsidR="0067178D" w:rsidRPr="003D4166" w:rsidRDefault="0067178D" w:rsidP="0067178D">
      <w:pPr>
        <w:numPr>
          <w:ilvl w:val="0"/>
          <w:numId w:val="9"/>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Are there perceived risks to reducing tests or treatments?</w:t>
      </w:r>
    </w:p>
    <w:p w14:paraId="4DEA5646" w14:textId="77777777" w:rsidR="0067178D" w:rsidRPr="003D4166" w:rsidRDefault="00383460" w:rsidP="0067178D">
      <w:pPr>
        <w:spacing w:line="300" w:lineRule="atLeast"/>
        <w:rPr>
          <w:rFonts w:asciiTheme="minorBidi" w:hAnsiTheme="minorBidi" w:cstheme="minorBidi"/>
          <w:color w:val="000000"/>
          <w:sz w:val="22"/>
          <w:szCs w:val="22"/>
        </w:rPr>
      </w:pPr>
      <w:r>
        <w:rPr>
          <w:noProof/>
        </w:rPr>
      </w:r>
      <w:r>
        <w:pict w14:anchorId="7A8864FA">
          <v:rect id="Horizontal Line 6"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FC8DB4" w14:textId="77777777" w:rsidR="0067178D" w:rsidRPr="003D4166" w:rsidRDefault="0067178D" w:rsidP="0067178D">
      <w:pPr>
        <w:pStyle w:val="Heading1"/>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7. Reinforcement</w:t>
      </w:r>
    </w:p>
    <w:p w14:paraId="40D4F6CD"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Primary question</w:t>
      </w:r>
    </w:p>
    <w:p w14:paraId="450CEA18"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What factors encourage or reward the continued use of certain infertility investigations or treatments?</w:t>
      </w:r>
    </w:p>
    <w:p w14:paraId="1B7D6979"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Prompts</w:t>
      </w:r>
    </w:p>
    <w:p w14:paraId="3543F6C3" w14:textId="77777777" w:rsidR="0067178D" w:rsidRPr="003D4166" w:rsidRDefault="0067178D" w:rsidP="0067178D">
      <w:pPr>
        <w:numPr>
          <w:ilvl w:val="0"/>
          <w:numId w:val="10"/>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Are there financial incentives involved?</w:t>
      </w:r>
    </w:p>
    <w:p w14:paraId="0B5E6C56" w14:textId="77777777" w:rsidR="0067178D" w:rsidRPr="003D4166" w:rsidRDefault="0067178D" w:rsidP="0067178D">
      <w:pPr>
        <w:numPr>
          <w:ilvl w:val="0"/>
          <w:numId w:val="10"/>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Are some behaviours more likely to gain approval from colleagues?</w:t>
      </w:r>
    </w:p>
    <w:p w14:paraId="406EDC62" w14:textId="77777777" w:rsidR="0067178D" w:rsidRPr="003D4166" w:rsidRDefault="0067178D" w:rsidP="0067178D">
      <w:pPr>
        <w:numPr>
          <w:ilvl w:val="0"/>
          <w:numId w:val="10"/>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Are clinicians rewarded for following guidelines?</w:t>
      </w:r>
    </w:p>
    <w:p w14:paraId="78097DD4" w14:textId="77777777" w:rsidR="0067178D" w:rsidRPr="003D4166" w:rsidRDefault="0067178D" w:rsidP="0067178D">
      <w:pPr>
        <w:numPr>
          <w:ilvl w:val="0"/>
          <w:numId w:val="10"/>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Does feedback influence behaviour?</w:t>
      </w:r>
    </w:p>
    <w:p w14:paraId="1F2D333E" w14:textId="77777777" w:rsidR="0067178D" w:rsidRPr="003D4166" w:rsidRDefault="00383460" w:rsidP="0067178D">
      <w:pPr>
        <w:spacing w:line="300" w:lineRule="atLeast"/>
        <w:rPr>
          <w:rFonts w:asciiTheme="minorBidi" w:hAnsiTheme="minorBidi" w:cstheme="minorBidi"/>
          <w:color w:val="000000"/>
          <w:sz w:val="22"/>
          <w:szCs w:val="22"/>
        </w:rPr>
      </w:pPr>
      <w:r>
        <w:rPr>
          <w:noProof/>
        </w:rPr>
      </w:r>
      <w:r>
        <w:pict w14:anchorId="0D968D07">
          <v:rect id="Horizontal Line 7"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13835A" w14:textId="77777777" w:rsidR="0067178D" w:rsidRPr="003D4166" w:rsidRDefault="0067178D" w:rsidP="0067178D">
      <w:pPr>
        <w:pStyle w:val="Heading1"/>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8. Intentions</w:t>
      </w:r>
    </w:p>
    <w:p w14:paraId="1BA2E585"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Primary question</w:t>
      </w:r>
    </w:p>
    <w:p w14:paraId="534BE047"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When clinicians recognize a practice may not be evidence-based, what influences their decision to continue or discontinue it?</w:t>
      </w:r>
    </w:p>
    <w:p w14:paraId="20E7F024"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Prompts</w:t>
      </w:r>
    </w:p>
    <w:p w14:paraId="7CF46194" w14:textId="77777777" w:rsidR="0067178D" w:rsidRPr="003D4166" w:rsidRDefault="0067178D" w:rsidP="0067178D">
      <w:pPr>
        <w:numPr>
          <w:ilvl w:val="0"/>
          <w:numId w:val="11"/>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lastRenderedPageBreak/>
        <w:t>What motivates clinicians to change practice?</w:t>
      </w:r>
    </w:p>
    <w:p w14:paraId="46505610" w14:textId="77777777" w:rsidR="0067178D" w:rsidRPr="003D4166" w:rsidRDefault="0067178D" w:rsidP="0067178D">
      <w:pPr>
        <w:numPr>
          <w:ilvl w:val="0"/>
          <w:numId w:val="11"/>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What prevents them from changing?</w:t>
      </w:r>
    </w:p>
    <w:p w14:paraId="130281DA" w14:textId="77777777" w:rsidR="0067178D" w:rsidRPr="003D4166" w:rsidRDefault="0067178D" w:rsidP="0067178D">
      <w:pPr>
        <w:numPr>
          <w:ilvl w:val="0"/>
          <w:numId w:val="11"/>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Do intentions differ between consultant and trainee levels?</w:t>
      </w:r>
    </w:p>
    <w:p w14:paraId="623C3A19" w14:textId="77777777" w:rsidR="0067178D" w:rsidRPr="003D4166" w:rsidRDefault="0067178D" w:rsidP="0067178D">
      <w:pPr>
        <w:numPr>
          <w:ilvl w:val="0"/>
          <w:numId w:val="11"/>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Are intentions affected by patient expectations?</w:t>
      </w:r>
    </w:p>
    <w:p w14:paraId="3B8DA9DF" w14:textId="77777777" w:rsidR="0067178D" w:rsidRPr="003D4166" w:rsidRDefault="00383460" w:rsidP="0067178D">
      <w:pPr>
        <w:spacing w:line="300" w:lineRule="atLeast"/>
        <w:rPr>
          <w:rFonts w:asciiTheme="minorBidi" w:hAnsiTheme="minorBidi" w:cstheme="minorBidi"/>
          <w:color w:val="000000"/>
          <w:sz w:val="22"/>
          <w:szCs w:val="22"/>
        </w:rPr>
      </w:pPr>
      <w:r>
        <w:rPr>
          <w:noProof/>
        </w:rPr>
      </w:r>
      <w:r>
        <w:pict w14:anchorId="5117FC39">
          <v:rect id="Horizontal Line 8"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BAB338" w14:textId="77777777" w:rsidR="0067178D" w:rsidRPr="003D4166" w:rsidRDefault="0067178D" w:rsidP="0067178D">
      <w:pPr>
        <w:pStyle w:val="Heading1"/>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9. Goals</w:t>
      </w:r>
    </w:p>
    <w:p w14:paraId="497A31B3"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Primary question</w:t>
      </w:r>
    </w:p>
    <w:p w14:paraId="6FD18F5E"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What are clinicians trying to achieve when managing infertility patients, and how do those goals influence their choices?</w:t>
      </w:r>
    </w:p>
    <w:p w14:paraId="55760634"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Prompts</w:t>
      </w:r>
    </w:p>
    <w:p w14:paraId="2BD8D8E0" w14:textId="77777777" w:rsidR="0067178D" w:rsidRPr="003D4166" w:rsidRDefault="0067178D" w:rsidP="0067178D">
      <w:pPr>
        <w:numPr>
          <w:ilvl w:val="0"/>
          <w:numId w:val="12"/>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Is rapid conception a major goal?</w:t>
      </w:r>
    </w:p>
    <w:p w14:paraId="3904D700" w14:textId="77777777" w:rsidR="0067178D" w:rsidRPr="003D4166" w:rsidRDefault="0067178D" w:rsidP="0067178D">
      <w:pPr>
        <w:numPr>
          <w:ilvl w:val="0"/>
          <w:numId w:val="12"/>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How important are patient satisfaction and retention?</w:t>
      </w:r>
    </w:p>
    <w:p w14:paraId="09B8FBBC" w14:textId="77777777" w:rsidR="0067178D" w:rsidRPr="003D4166" w:rsidRDefault="0067178D" w:rsidP="0067178D">
      <w:pPr>
        <w:numPr>
          <w:ilvl w:val="0"/>
          <w:numId w:val="12"/>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How important is diagnostic certainty?</w:t>
      </w:r>
    </w:p>
    <w:p w14:paraId="189E21E2" w14:textId="77777777" w:rsidR="0067178D" w:rsidRPr="003D4166" w:rsidRDefault="0067178D" w:rsidP="0067178D">
      <w:pPr>
        <w:numPr>
          <w:ilvl w:val="0"/>
          <w:numId w:val="12"/>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Do competing goals ever influence decisions away from guidelines?</w:t>
      </w:r>
    </w:p>
    <w:p w14:paraId="058692A1" w14:textId="77777777" w:rsidR="0067178D" w:rsidRPr="003D4166" w:rsidRDefault="00383460" w:rsidP="0067178D">
      <w:pPr>
        <w:spacing w:line="300" w:lineRule="atLeast"/>
        <w:rPr>
          <w:rFonts w:asciiTheme="minorBidi" w:hAnsiTheme="minorBidi" w:cstheme="minorBidi"/>
          <w:color w:val="000000"/>
          <w:sz w:val="22"/>
          <w:szCs w:val="22"/>
        </w:rPr>
      </w:pPr>
      <w:r>
        <w:rPr>
          <w:noProof/>
        </w:rPr>
      </w:r>
      <w:r>
        <w:pict w14:anchorId="19BE291D">
          <v:rect id="Horizontal Line 9"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B3CE75" w14:textId="77777777" w:rsidR="0067178D" w:rsidRPr="003D4166" w:rsidRDefault="0067178D" w:rsidP="0067178D">
      <w:pPr>
        <w:pStyle w:val="Heading1"/>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10. Memory, Attention and Decision Processes</w:t>
      </w:r>
    </w:p>
    <w:p w14:paraId="0B04192D"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Primary question</w:t>
      </w:r>
    </w:p>
    <w:p w14:paraId="37468F71"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When making decisions about infertility investigations and treatment pathways, what factors most strongly influence clinicians' thinking?</w:t>
      </w:r>
    </w:p>
    <w:p w14:paraId="28F9AF74"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Prompts</w:t>
      </w:r>
    </w:p>
    <w:p w14:paraId="0DCCC0F9" w14:textId="77777777" w:rsidR="0067178D" w:rsidRPr="003D4166" w:rsidRDefault="0067178D" w:rsidP="0067178D">
      <w:pPr>
        <w:numPr>
          <w:ilvl w:val="0"/>
          <w:numId w:val="13"/>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Are some decisions made routinely or automatically?</w:t>
      </w:r>
    </w:p>
    <w:p w14:paraId="0313BD0B" w14:textId="77777777" w:rsidR="0067178D" w:rsidRPr="003D4166" w:rsidRDefault="0067178D" w:rsidP="0067178D">
      <w:pPr>
        <w:numPr>
          <w:ilvl w:val="0"/>
          <w:numId w:val="13"/>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How do time pressures affect decisions?</w:t>
      </w:r>
    </w:p>
    <w:p w14:paraId="27480565" w14:textId="77777777" w:rsidR="0067178D" w:rsidRPr="003D4166" w:rsidRDefault="0067178D" w:rsidP="0067178D">
      <w:pPr>
        <w:numPr>
          <w:ilvl w:val="0"/>
          <w:numId w:val="13"/>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What role do habits play?</w:t>
      </w:r>
    </w:p>
    <w:p w14:paraId="1103C897" w14:textId="77777777" w:rsidR="0067178D" w:rsidRPr="003D4166" w:rsidRDefault="0067178D" w:rsidP="0067178D">
      <w:pPr>
        <w:numPr>
          <w:ilvl w:val="0"/>
          <w:numId w:val="13"/>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How often are guidelines actively consulted?</w:t>
      </w:r>
    </w:p>
    <w:p w14:paraId="59330B9E" w14:textId="77777777" w:rsidR="0067178D" w:rsidRPr="003D4166" w:rsidRDefault="0067178D" w:rsidP="0067178D">
      <w:pPr>
        <w:numPr>
          <w:ilvl w:val="0"/>
          <w:numId w:val="13"/>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How does uncertainty influence decision-making?</w:t>
      </w:r>
    </w:p>
    <w:p w14:paraId="1651802C" w14:textId="77777777" w:rsidR="0067178D" w:rsidRPr="003D4166" w:rsidRDefault="00383460" w:rsidP="0067178D">
      <w:pPr>
        <w:spacing w:line="300" w:lineRule="atLeast"/>
        <w:rPr>
          <w:rFonts w:asciiTheme="minorBidi" w:hAnsiTheme="minorBidi" w:cstheme="minorBidi"/>
          <w:color w:val="000000"/>
          <w:sz w:val="22"/>
          <w:szCs w:val="22"/>
        </w:rPr>
      </w:pPr>
      <w:r>
        <w:rPr>
          <w:noProof/>
        </w:rPr>
      </w:r>
      <w:r>
        <w:pict w14:anchorId="7D05DC27">
          <v:rect id="Horizontal Line 10"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AECE4F" w14:textId="77777777" w:rsidR="0067178D" w:rsidRPr="003D4166" w:rsidRDefault="0067178D" w:rsidP="0067178D">
      <w:pPr>
        <w:pStyle w:val="Heading1"/>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11. Environmental Context and Resources</w:t>
      </w:r>
    </w:p>
    <w:p w14:paraId="002D7AA1"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Primary question</w:t>
      </w:r>
    </w:p>
    <w:p w14:paraId="6BC6225D"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How do resources and the clinical environment influence infertility management decisions?</w:t>
      </w:r>
    </w:p>
    <w:p w14:paraId="2B214C9D"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Prompts</w:t>
      </w:r>
    </w:p>
    <w:p w14:paraId="3784EA71" w14:textId="77777777" w:rsidR="0067178D" w:rsidRPr="003D4166" w:rsidRDefault="0067178D" w:rsidP="0067178D">
      <w:pPr>
        <w:numPr>
          <w:ilvl w:val="0"/>
          <w:numId w:val="14"/>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lastRenderedPageBreak/>
        <w:t>What role do test availability and cost play?</w:t>
      </w:r>
    </w:p>
    <w:p w14:paraId="0122CEDD" w14:textId="77777777" w:rsidR="0067178D" w:rsidRPr="003D4166" w:rsidRDefault="0067178D" w:rsidP="0067178D">
      <w:pPr>
        <w:numPr>
          <w:ilvl w:val="0"/>
          <w:numId w:val="14"/>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How does access to ART affect decisions?</w:t>
      </w:r>
    </w:p>
    <w:p w14:paraId="2F66B7A6" w14:textId="77777777" w:rsidR="0067178D" w:rsidRPr="003D4166" w:rsidRDefault="0067178D" w:rsidP="0067178D">
      <w:pPr>
        <w:numPr>
          <w:ilvl w:val="0"/>
          <w:numId w:val="14"/>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Does workload influence investigation or treatment choices?</w:t>
      </w:r>
    </w:p>
    <w:p w14:paraId="12A01A19" w14:textId="77777777" w:rsidR="0067178D" w:rsidRPr="003D4166" w:rsidRDefault="0067178D" w:rsidP="0067178D">
      <w:pPr>
        <w:numPr>
          <w:ilvl w:val="0"/>
          <w:numId w:val="14"/>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How do institutional policies affect practice?</w:t>
      </w:r>
    </w:p>
    <w:p w14:paraId="2315F84E" w14:textId="77777777" w:rsidR="0067178D" w:rsidRPr="003D4166" w:rsidRDefault="00383460" w:rsidP="0067178D">
      <w:pPr>
        <w:spacing w:line="300" w:lineRule="atLeast"/>
        <w:rPr>
          <w:rFonts w:asciiTheme="minorBidi" w:hAnsiTheme="minorBidi" w:cstheme="minorBidi"/>
          <w:color w:val="000000"/>
          <w:sz w:val="22"/>
          <w:szCs w:val="22"/>
        </w:rPr>
      </w:pPr>
      <w:r>
        <w:rPr>
          <w:noProof/>
        </w:rPr>
      </w:r>
      <w:r>
        <w:pict w14:anchorId="1987B62B">
          <v:rect id="Horizontal Line 11"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E3818C" w14:textId="77777777" w:rsidR="0067178D" w:rsidRPr="003D4166" w:rsidRDefault="0067178D" w:rsidP="0067178D">
      <w:pPr>
        <w:pStyle w:val="Heading1"/>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12. Social Influences</w:t>
      </w:r>
    </w:p>
    <w:p w14:paraId="5EED9257"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Primary question</w:t>
      </w:r>
    </w:p>
    <w:p w14:paraId="5B13F7D2"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How do other people influence clinicians' decisions about infertility investigations and treatments?</w:t>
      </w:r>
    </w:p>
    <w:p w14:paraId="28171E37"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Prompts</w:t>
      </w:r>
    </w:p>
    <w:p w14:paraId="19EEDF2D" w14:textId="77777777" w:rsidR="0067178D" w:rsidRPr="003D4166" w:rsidRDefault="0067178D" w:rsidP="0067178D">
      <w:pPr>
        <w:numPr>
          <w:ilvl w:val="0"/>
          <w:numId w:val="15"/>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How influential are senior clinicians?</w:t>
      </w:r>
    </w:p>
    <w:p w14:paraId="7BF487DA" w14:textId="77777777" w:rsidR="0067178D" w:rsidRPr="003D4166" w:rsidRDefault="0067178D" w:rsidP="0067178D">
      <w:pPr>
        <w:numPr>
          <w:ilvl w:val="0"/>
          <w:numId w:val="15"/>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What role do peers play?</w:t>
      </w:r>
    </w:p>
    <w:p w14:paraId="6F0CB379" w14:textId="77777777" w:rsidR="0067178D" w:rsidRPr="003D4166" w:rsidRDefault="0067178D" w:rsidP="0067178D">
      <w:pPr>
        <w:numPr>
          <w:ilvl w:val="0"/>
          <w:numId w:val="15"/>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How do patient expectations influence choices?</w:t>
      </w:r>
    </w:p>
    <w:p w14:paraId="554E1DC5" w14:textId="77777777" w:rsidR="0067178D" w:rsidRPr="003D4166" w:rsidRDefault="0067178D" w:rsidP="0067178D">
      <w:pPr>
        <w:numPr>
          <w:ilvl w:val="0"/>
          <w:numId w:val="15"/>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Does social media or direct-to-consumer marketing have an influence?</w:t>
      </w:r>
    </w:p>
    <w:p w14:paraId="30D8EF4D" w14:textId="77777777" w:rsidR="0067178D" w:rsidRPr="003D4166" w:rsidRDefault="00383460" w:rsidP="0067178D">
      <w:pPr>
        <w:spacing w:line="300" w:lineRule="atLeast"/>
        <w:rPr>
          <w:rFonts w:asciiTheme="minorBidi" w:hAnsiTheme="minorBidi" w:cstheme="minorBidi"/>
          <w:color w:val="000000"/>
          <w:sz w:val="22"/>
          <w:szCs w:val="22"/>
        </w:rPr>
      </w:pPr>
      <w:r>
        <w:rPr>
          <w:noProof/>
        </w:rPr>
      </w:r>
      <w:r>
        <w:pict w14:anchorId="39CDCCDA">
          <v:rect id="Horizontal Line 12"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61238F" w14:textId="77777777" w:rsidR="0067178D" w:rsidRPr="003D4166" w:rsidRDefault="0067178D" w:rsidP="0067178D">
      <w:pPr>
        <w:pStyle w:val="Heading1"/>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13. Emotion</w:t>
      </w:r>
    </w:p>
    <w:p w14:paraId="629DDC78"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Primary question</w:t>
      </w:r>
    </w:p>
    <w:p w14:paraId="5D1FD849"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What emotions or emotional pressures influence decisions about infertility care?</w:t>
      </w:r>
    </w:p>
    <w:p w14:paraId="29B9498E"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Prompts</w:t>
      </w:r>
    </w:p>
    <w:p w14:paraId="444788AE" w14:textId="77777777" w:rsidR="0067178D" w:rsidRPr="003D4166" w:rsidRDefault="0067178D" w:rsidP="0067178D">
      <w:pPr>
        <w:numPr>
          <w:ilvl w:val="0"/>
          <w:numId w:val="16"/>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Does concern about disappointing patients influence choices?</w:t>
      </w:r>
    </w:p>
    <w:p w14:paraId="0753489E" w14:textId="77777777" w:rsidR="0067178D" w:rsidRPr="003D4166" w:rsidRDefault="0067178D" w:rsidP="0067178D">
      <w:pPr>
        <w:numPr>
          <w:ilvl w:val="0"/>
          <w:numId w:val="16"/>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Is there anxiety about missing a diagnosis?</w:t>
      </w:r>
    </w:p>
    <w:p w14:paraId="21157ADD" w14:textId="77777777" w:rsidR="0067178D" w:rsidRPr="003D4166" w:rsidRDefault="0067178D" w:rsidP="0067178D">
      <w:pPr>
        <w:numPr>
          <w:ilvl w:val="0"/>
          <w:numId w:val="16"/>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Does fear of criticism affect decision-making?</w:t>
      </w:r>
    </w:p>
    <w:p w14:paraId="5017433B" w14:textId="77777777" w:rsidR="0067178D" w:rsidRPr="003D4166" w:rsidRDefault="0067178D" w:rsidP="0067178D">
      <w:pPr>
        <w:numPr>
          <w:ilvl w:val="0"/>
          <w:numId w:val="16"/>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How does the emotional nature of infertility affect clinicians?</w:t>
      </w:r>
    </w:p>
    <w:p w14:paraId="277B0B32" w14:textId="77777777" w:rsidR="0067178D" w:rsidRPr="003D4166" w:rsidRDefault="00383460" w:rsidP="0067178D">
      <w:pPr>
        <w:spacing w:line="300" w:lineRule="atLeast"/>
        <w:rPr>
          <w:rFonts w:asciiTheme="minorBidi" w:hAnsiTheme="minorBidi" w:cstheme="minorBidi"/>
          <w:color w:val="000000"/>
          <w:sz w:val="22"/>
          <w:szCs w:val="22"/>
        </w:rPr>
      </w:pPr>
      <w:r>
        <w:rPr>
          <w:noProof/>
        </w:rPr>
      </w:r>
      <w:r>
        <w:pict w14:anchorId="7C074F77">
          <v:rect id="Horizontal Lin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69520F" w14:textId="77777777" w:rsidR="0067178D" w:rsidRPr="003D4166" w:rsidRDefault="0067178D" w:rsidP="0067178D">
      <w:pPr>
        <w:pStyle w:val="Heading1"/>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14. Behavioural Regulation</w:t>
      </w:r>
    </w:p>
    <w:p w14:paraId="017DDB93"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Primary question</w:t>
      </w:r>
    </w:p>
    <w:p w14:paraId="545D4CE0"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What processes or systems exist to help ensure infertility care is evidence-based?</w:t>
      </w:r>
    </w:p>
    <w:p w14:paraId="1A5B093E" w14:textId="77777777" w:rsidR="0067178D" w:rsidRPr="003D4166" w:rsidRDefault="0067178D" w:rsidP="0067178D">
      <w:pPr>
        <w:pStyle w:val="NormalWeb"/>
        <w:spacing w:line="300" w:lineRule="atLeast"/>
        <w:rPr>
          <w:rFonts w:asciiTheme="minorBidi" w:hAnsiTheme="minorBidi" w:cstheme="minorBidi"/>
          <w:color w:val="000000"/>
          <w:sz w:val="22"/>
          <w:szCs w:val="22"/>
        </w:rPr>
      </w:pPr>
      <w:r w:rsidRPr="003D4166">
        <w:rPr>
          <w:rStyle w:val="Strong"/>
          <w:rFonts w:asciiTheme="minorBidi" w:hAnsiTheme="minorBidi" w:cstheme="minorBidi"/>
          <w:color w:val="000000"/>
          <w:sz w:val="22"/>
          <w:szCs w:val="22"/>
        </w:rPr>
        <w:t>Prompts</w:t>
      </w:r>
    </w:p>
    <w:p w14:paraId="317E42A0" w14:textId="77777777" w:rsidR="0067178D" w:rsidRPr="003D4166" w:rsidRDefault="0067178D" w:rsidP="0067178D">
      <w:pPr>
        <w:numPr>
          <w:ilvl w:val="0"/>
          <w:numId w:val="17"/>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Are there local protocols or pathways?</w:t>
      </w:r>
    </w:p>
    <w:p w14:paraId="53CEC951" w14:textId="77777777" w:rsidR="0067178D" w:rsidRPr="003D4166" w:rsidRDefault="0067178D" w:rsidP="0067178D">
      <w:pPr>
        <w:numPr>
          <w:ilvl w:val="0"/>
          <w:numId w:val="17"/>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lastRenderedPageBreak/>
        <w:t>Are audits conducted?</w:t>
      </w:r>
    </w:p>
    <w:p w14:paraId="3F0E166C" w14:textId="77777777" w:rsidR="0067178D" w:rsidRPr="003D4166" w:rsidRDefault="0067178D" w:rsidP="0067178D">
      <w:pPr>
        <w:numPr>
          <w:ilvl w:val="0"/>
          <w:numId w:val="17"/>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Is feedback provided on clinical practice?</w:t>
      </w:r>
    </w:p>
    <w:p w14:paraId="1A7EF997" w14:textId="77777777" w:rsidR="0067178D" w:rsidRPr="003D4166" w:rsidRDefault="0067178D" w:rsidP="0067178D">
      <w:pPr>
        <w:numPr>
          <w:ilvl w:val="0"/>
          <w:numId w:val="17"/>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How are deviations from protocols identified and addressed?</w:t>
      </w:r>
    </w:p>
    <w:p w14:paraId="1439CCDB" w14:textId="77777777" w:rsidR="0067178D" w:rsidRPr="003D4166" w:rsidRDefault="0067178D" w:rsidP="0067178D">
      <w:pPr>
        <w:numPr>
          <w:ilvl w:val="0"/>
          <w:numId w:val="17"/>
        </w:numPr>
        <w:spacing w:before="100" w:beforeAutospacing="1" w:after="100" w:afterAutospacing="1" w:line="300" w:lineRule="atLeast"/>
        <w:rPr>
          <w:rFonts w:asciiTheme="minorBidi" w:hAnsiTheme="minorBidi" w:cstheme="minorBidi"/>
          <w:color w:val="000000"/>
          <w:sz w:val="22"/>
          <w:szCs w:val="22"/>
        </w:rPr>
      </w:pPr>
      <w:r w:rsidRPr="003D4166">
        <w:rPr>
          <w:rFonts w:asciiTheme="minorBidi" w:hAnsiTheme="minorBidi" w:cstheme="minorBidi"/>
          <w:color w:val="000000"/>
          <w:sz w:val="22"/>
          <w:szCs w:val="22"/>
        </w:rPr>
        <w:t>What systems could help reduce low-value practices?</w:t>
      </w:r>
    </w:p>
    <w:p w14:paraId="181668F8" w14:textId="77777777" w:rsidR="00C135DC" w:rsidRPr="003D4166" w:rsidRDefault="00000000">
      <w:pPr>
        <w:pStyle w:val="Heading2"/>
        <w:spacing w:before="260" w:after="120"/>
        <w:rPr>
          <w:rFonts w:asciiTheme="minorBidi" w:hAnsiTheme="minorBidi" w:cstheme="minorBidi"/>
          <w:sz w:val="22"/>
          <w:szCs w:val="22"/>
        </w:rPr>
      </w:pPr>
      <w:r w:rsidRPr="003D4166">
        <w:rPr>
          <w:rFonts w:asciiTheme="minorBidi" w:hAnsiTheme="minorBidi" w:cstheme="minorBidi"/>
          <w:b/>
          <w:bCs/>
          <w:color w:val="2E5B8C"/>
          <w:sz w:val="22"/>
          <w:szCs w:val="22"/>
        </w:rPr>
        <w:t>Transmission Across the Continuum (10 minutes)</w:t>
      </w:r>
      <w:bookmarkEnd w:id="33"/>
    </w:p>
    <w:p w14:paraId="73085A32"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Have you ever been taught one thing formally, but observed something different in practice? How did you reconcile that?</w:t>
      </w:r>
    </w:p>
    <w:p w14:paraId="07BEE16C" w14:textId="0469F8B0" w:rsidR="0067178D" w:rsidRPr="003D4166" w:rsidRDefault="0067178D">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Can you think of a specific example where a low-value infertility practice was introduced, reinforced, challenged, or changed? Please describe what happened and why.</w:t>
      </w:r>
    </w:p>
    <w:p w14:paraId="22791D69" w14:textId="77777777" w:rsidR="00C135DC" w:rsidRPr="003D4166" w:rsidRDefault="00000000">
      <w:pPr>
        <w:pStyle w:val="Heading2"/>
        <w:spacing w:before="260" w:after="120"/>
        <w:rPr>
          <w:rFonts w:asciiTheme="minorBidi" w:hAnsiTheme="minorBidi" w:cstheme="minorBidi"/>
          <w:sz w:val="22"/>
          <w:szCs w:val="22"/>
        </w:rPr>
      </w:pPr>
      <w:bookmarkStart w:id="34" w:name="_Toc234679192"/>
      <w:r w:rsidRPr="003D4166">
        <w:rPr>
          <w:rFonts w:asciiTheme="minorBidi" w:hAnsiTheme="minorBidi" w:cstheme="minorBidi"/>
          <w:b/>
          <w:bCs/>
          <w:color w:val="2E5B8C"/>
          <w:sz w:val="22"/>
          <w:szCs w:val="22"/>
        </w:rPr>
        <w:t>Closing (5 minutes)</w:t>
      </w:r>
      <w:bookmarkEnd w:id="34"/>
    </w:p>
    <w:p w14:paraId="1B6A188B"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If you could change one thing to reduce this kind of practice, what would it be, and who would need to be involved?</w:t>
      </w:r>
    </w:p>
    <w:p w14:paraId="503C4657"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Is there anything important about this topic we haven't asked about?</w:t>
      </w:r>
    </w:p>
    <w:p w14:paraId="33635A23" w14:textId="77777777" w:rsidR="00C135DC" w:rsidRPr="003D4166" w:rsidRDefault="00000000">
      <w:pPr>
        <w:pStyle w:val="ListParagraph"/>
        <w:numPr>
          <w:ilvl w:val="0"/>
          <w:numId w:val="2"/>
        </w:numPr>
        <w:spacing w:after="80" w:line="276" w:lineRule="auto"/>
        <w:rPr>
          <w:rFonts w:asciiTheme="minorBidi" w:hAnsiTheme="minorBidi" w:cstheme="minorBidi"/>
          <w:sz w:val="22"/>
          <w:szCs w:val="22"/>
        </w:rPr>
      </w:pPr>
      <w:r w:rsidRPr="003D4166">
        <w:rPr>
          <w:rFonts w:asciiTheme="minorBidi" w:hAnsiTheme="minorBidi" w:cstheme="minorBidi"/>
          <w:sz w:val="22"/>
          <w:szCs w:val="22"/>
        </w:rPr>
        <w:t>Member-check summary read-back and final comments.</w:t>
      </w:r>
    </w:p>
    <w:sectPr w:rsidR="00C135DC" w:rsidRPr="003D416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48B08E" w14:textId="77777777" w:rsidR="00383460" w:rsidRDefault="00383460">
      <w:r>
        <w:separator/>
      </w:r>
    </w:p>
  </w:endnote>
  <w:endnote w:type="continuationSeparator" w:id="0">
    <w:p w14:paraId="33E4BCE1" w14:textId="77777777" w:rsidR="00383460" w:rsidRDefault="00383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24969F" w14:textId="77777777" w:rsidR="00C135DC"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6492E">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6492E">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8CAFF7" w14:textId="77777777" w:rsidR="00383460" w:rsidRDefault="00383460">
      <w:r>
        <w:separator/>
      </w:r>
    </w:p>
  </w:footnote>
  <w:footnote w:type="continuationSeparator" w:id="0">
    <w:p w14:paraId="4AA068CE" w14:textId="77777777" w:rsidR="00383460" w:rsidRDefault="003834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EF8D82" w14:textId="0A102B66" w:rsidR="00C135DC" w:rsidRDefault="00000000">
    <w:pPr>
      <w:pBdr>
        <w:bottom w:val="single" w:sz="4" w:space="0" w:color="BFBFBF"/>
      </w:pBdr>
      <w:jc w:val="right"/>
    </w:pPr>
    <w:r>
      <w:rPr>
        <w:i/>
        <w:iCs/>
        <w:color w:val="595959"/>
        <w:sz w:val="16"/>
        <w:szCs w:val="16"/>
      </w:rPr>
      <w:t>Protocol 3 —Infertility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83D77"/>
    <w:multiLevelType w:val="multilevel"/>
    <w:tmpl w:val="95D4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33E4B"/>
    <w:multiLevelType w:val="multilevel"/>
    <w:tmpl w:val="FF52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C5D05"/>
    <w:multiLevelType w:val="multilevel"/>
    <w:tmpl w:val="A338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F7E44"/>
    <w:multiLevelType w:val="multilevel"/>
    <w:tmpl w:val="8E1E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211EF"/>
    <w:multiLevelType w:val="hybridMultilevel"/>
    <w:tmpl w:val="74AA3E8A"/>
    <w:lvl w:ilvl="0" w:tplc="A89CF494">
      <w:start w:val="1"/>
      <w:numFmt w:val="bullet"/>
      <w:lvlText w:val="●"/>
      <w:lvlJc w:val="left"/>
      <w:pPr>
        <w:ind w:left="720" w:hanging="360"/>
      </w:pPr>
    </w:lvl>
    <w:lvl w:ilvl="1" w:tplc="94B68A16">
      <w:start w:val="1"/>
      <w:numFmt w:val="bullet"/>
      <w:lvlText w:val="○"/>
      <w:lvlJc w:val="left"/>
      <w:pPr>
        <w:ind w:left="1440" w:hanging="360"/>
      </w:pPr>
    </w:lvl>
    <w:lvl w:ilvl="2" w:tplc="ED929D64">
      <w:start w:val="1"/>
      <w:numFmt w:val="bullet"/>
      <w:lvlText w:val="■"/>
      <w:lvlJc w:val="left"/>
      <w:pPr>
        <w:ind w:left="2160" w:hanging="360"/>
      </w:pPr>
    </w:lvl>
    <w:lvl w:ilvl="3" w:tplc="B1E4049A">
      <w:start w:val="1"/>
      <w:numFmt w:val="bullet"/>
      <w:lvlText w:val="●"/>
      <w:lvlJc w:val="left"/>
      <w:pPr>
        <w:ind w:left="2880" w:hanging="360"/>
      </w:pPr>
    </w:lvl>
    <w:lvl w:ilvl="4" w:tplc="DC6E0692">
      <w:start w:val="1"/>
      <w:numFmt w:val="bullet"/>
      <w:lvlText w:val="○"/>
      <w:lvlJc w:val="left"/>
      <w:pPr>
        <w:ind w:left="3600" w:hanging="360"/>
      </w:pPr>
    </w:lvl>
    <w:lvl w:ilvl="5" w:tplc="74660CA2">
      <w:start w:val="1"/>
      <w:numFmt w:val="bullet"/>
      <w:lvlText w:val="■"/>
      <w:lvlJc w:val="left"/>
      <w:pPr>
        <w:ind w:left="4320" w:hanging="360"/>
      </w:pPr>
    </w:lvl>
    <w:lvl w:ilvl="6" w:tplc="2168DEBE">
      <w:start w:val="1"/>
      <w:numFmt w:val="bullet"/>
      <w:lvlText w:val="●"/>
      <w:lvlJc w:val="left"/>
      <w:pPr>
        <w:ind w:left="5040" w:hanging="360"/>
      </w:pPr>
    </w:lvl>
    <w:lvl w:ilvl="7" w:tplc="E43A45EE">
      <w:start w:val="1"/>
      <w:numFmt w:val="bullet"/>
      <w:lvlText w:val="●"/>
      <w:lvlJc w:val="left"/>
      <w:pPr>
        <w:ind w:left="5760" w:hanging="360"/>
      </w:pPr>
    </w:lvl>
    <w:lvl w:ilvl="8" w:tplc="2FB8F3E2">
      <w:start w:val="1"/>
      <w:numFmt w:val="bullet"/>
      <w:lvlText w:val="●"/>
      <w:lvlJc w:val="left"/>
      <w:pPr>
        <w:ind w:left="6480" w:hanging="360"/>
      </w:pPr>
    </w:lvl>
  </w:abstractNum>
  <w:abstractNum w:abstractNumId="5" w15:restartNumberingAfterBreak="0">
    <w:nsid w:val="1E4F6E6E"/>
    <w:multiLevelType w:val="multilevel"/>
    <w:tmpl w:val="86C0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25BC1"/>
    <w:multiLevelType w:val="multilevel"/>
    <w:tmpl w:val="A0B6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47FBB"/>
    <w:multiLevelType w:val="multilevel"/>
    <w:tmpl w:val="E906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27842"/>
    <w:multiLevelType w:val="multilevel"/>
    <w:tmpl w:val="C012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624F0"/>
    <w:multiLevelType w:val="multilevel"/>
    <w:tmpl w:val="A85A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E602B"/>
    <w:multiLevelType w:val="multilevel"/>
    <w:tmpl w:val="384C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8D7892"/>
    <w:multiLevelType w:val="multilevel"/>
    <w:tmpl w:val="8BA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41862"/>
    <w:multiLevelType w:val="hybridMultilevel"/>
    <w:tmpl w:val="5DD4FD7C"/>
    <w:lvl w:ilvl="0" w:tplc="36220F60">
      <w:start w:val="1"/>
      <w:numFmt w:val="bullet"/>
      <w:lvlText w:val="•"/>
      <w:lvlJc w:val="left"/>
      <w:pPr>
        <w:ind w:left="460" w:hanging="260"/>
      </w:pPr>
    </w:lvl>
    <w:lvl w:ilvl="1" w:tplc="130C235C">
      <w:start w:val="1"/>
      <w:numFmt w:val="bullet"/>
      <w:lvlText w:val="◦"/>
      <w:lvlJc w:val="left"/>
      <w:pPr>
        <w:ind w:left="820" w:hanging="260"/>
      </w:pPr>
    </w:lvl>
    <w:lvl w:ilvl="2" w:tplc="D5F018C0">
      <w:numFmt w:val="decimal"/>
      <w:lvlText w:val=""/>
      <w:lvlJc w:val="left"/>
    </w:lvl>
    <w:lvl w:ilvl="3" w:tplc="BF0A8F5E">
      <w:numFmt w:val="decimal"/>
      <w:lvlText w:val=""/>
      <w:lvlJc w:val="left"/>
    </w:lvl>
    <w:lvl w:ilvl="4" w:tplc="7E10B538">
      <w:numFmt w:val="decimal"/>
      <w:lvlText w:val=""/>
      <w:lvlJc w:val="left"/>
    </w:lvl>
    <w:lvl w:ilvl="5" w:tplc="A71ED2E0">
      <w:numFmt w:val="decimal"/>
      <w:lvlText w:val=""/>
      <w:lvlJc w:val="left"/>
    </w:lvl>
    <w:lvl w:ilvl="6" w:tplc="611CC4D2">
      <w:numFmt w:val="decimal"/>
      <w:lvlText w:val=""/>
      <w:lvlJc w:val="left"/>
    </w:lvl>
    <w:lvl w:ilvl="7" w:tplc="5BD2F218">
      <w:numFmt w:val="decimal"/>
      <w:lvlText w:val=""/>
      <w:lvlJc w:val="left"/>
    </w:lvl>
    <w:lvl w:ilvl="8" w:tplc="41863C08">
      <w:numFmt w:val="decimal"/>
      <w:lvlText w:val=""/>
      <w:lvlJc w:val="left"/>
    </w:lvl>
  </w:abstractNum>
  <w:abstractNum w:abstractNumId="13" w15:restartNumberingAfterBreak="0">
    <w:nsid w:val="671A0CBC"/>
    <w:multiLevelType w:val="multilevel"/>
    <w:tmpl w:val="8F5E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B314A"/>
    <w:multiLevelType w:val="hybridMultilevel"/>
    <w:tmpl w:val="5EBE09BE"/>
    <w:lvl w:ilvl="0" w:tplc="3DF2BFAE">
      <w:start w:val="1"/>
      <w:numFmt w:val="decimal"/>
      <w:lvlText w:val="%1."/>
      <w:lvlJc w:val="left"/>
      <w:pPr>
        <w:ind w:left="460" w:hanging="260"/>
      </w:pPr>
    </w:lvl>
    <w:lvl w:ilvl="1" w:tplc="2BE8D7F4">
      <w:numFmt w:val="decimal"/>
      <w:lvlText w:val=""/>
      <w:lvlJc w:val="left"/>
    </w:lvl>
    <w:lvl w:ilvl="2" w:tplc="5E624A08">
      <w:numFmt w:val="decimal"/>
      <w:lvlText w:val=""/>
      <w:lvlJc w:val="left"/>
    </w:lvl>
    <w:lvl w:ilvl="3" w:tplc="88DE5456">
      <w:numFmt w:val="decimal"/>
      <w:lvlText w:val=""/>
      <w:lvlJc w:val="left"/>
    </w:lvl>
    <w:lvl w:ilvl="4" w:tplc="C3D44548">
      <w:numFmt w:val="decimal"/>
      <w:lvlText w:val=""/>
      <w:lvlJc w:val="left"/>
    </w:lvl>
    <w:lvl w:ilvl="5" w:tplc="2F80B3DC">
      <w:numFmt w:val="decimal"/>
      <w:lvlText w:val=""/>
      <w:lvlJc w:val="left"/>
    </w:lvl>
    <w:lvl w:ilvl="6" w:tplc="991677C0">
      <w:numFmt w:val="decimal"/>
      <w:lvlText w:val=""/>
      <w:lvlJc w:val="left"/>
    </w:lvl>
    <w:lvl w:ilvl="7" w:tplc="84C043F6">
      <w:numFmt w:val="decimal"/>
      <w:lvlText w:val=""/>
      <w:lvlJc w:val="left"/>
    </w:lvl>
    <w:lvl w:ilvl="8" w:tplc="9FE48B26">
      <w:numFmt w:val="decimal"/>
      <w:lvlText w:val=""/>
      <w:lvlJc w:val="left"/>
    </w:lvl>
  </w:abstractNum>
  <w:abstractNum w:abstractNumId="15" w15:restartNumberingAfterBreak="0">
    <w:nsid w:val="6B4C1589"/>
    <w:multiLevelType w:val="multilevel"/>
    <w:tmpl w:val="9E58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926310"/>
    <w:multiLevelType w:val="multilevel"/>
    <w:tmpl w:val="3838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09722">
    <w:abstractNumId w:val="4"/>
    <w:lvlOverride w:ilvl="0">
      <w:startOverride w:val="1"/>
    </w:lvlOverride>
  </w:num>
  <w:num w:numId="2" w16cid:durableId="1771927723">
    <w:abstractNumId w:val="12"/>
    <w:lvlOverride w:ilvl="0">
      <w:startOverride w:val="1"/>
    </w:lvlOverride>
  </w:num>
  <w:num w:numId="3" w16cid:durableId="1746954906">
    <w:abstractNumId w:val="14"/>
    <w:lvlOverride w:ilvl="0">
      <w:startOverride w:val="1"/>
    </w:lvlOverride>
  </w:num>
  <w:num w:numId="4" w16cid:durableId="938607136">
    <w:abstractNumId w:val="1"/>
  </w:num>
  <w:num w:numId="5" w16cid:durableId="159195380">
    <w:abstractNumId w:val="10"/>
  </w:num>
  <w:num w:numId="6" w16cid:durableId="473258305">
    <w:abstractNumId w:val="16"/>
  </w:num>
  <w:num w:numId="7" w16cid:durableId="757294422">
    <w:abstractNumId w:val="11"/>
  </w:num>
  <w:num w:numId="8" w16cid:durableId="1557472749">
    <w:abstractNumId w:val="13"/>
  </w:num>
  <w:num w:numId="9" w16cid:durableId="295263157">
    <w:abstractNumId w:val="9"/>
  </w:num>
  <w:num w:numId="10" w16cid:durableId="1560632066">
    <w:abstractNumId w:val="2"/>
  </w:num>
  <w:num w:numId="11" w16cid:durableId="1233738282">
    <w:abstractNumId w:val="6"/>
  </w:num>
  <w:num w:numId="12" w16cid:durableId="1383093780">
    <w:abstractNumId w:val="8"/>
  </w:num>
  <w:num w:numId="13" w16cid:durableId="1377466335">
    <w:abstractNumId w:val="3"/>
  </w:num>
  <w:num w:numId="14" w16cid:durableId="1974406876">
    <w:abstractNumId w:val="0"/>
  </w:num>
  <w:num w:numId="15" w16cid:durableId="744491635">
    <w:abstractNumId w:val="7"/>
  </w:num>
  <w:num w:numId="16" w16cid:durableId="843979516">
    <w:abstractNumId w:val="5"/>
  </w:num>
  <w:num w:numId="17" w16cid:durableId="772894327">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2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5DC"/>
    <w:rsid w:val="00016DFE"/>
    <w:rsid w:val="00110C8D"/>
    <w:rsid w:val="0016492E"/>
    <w:rsid w:val="00383460"/>
    <w:rsid w:val="003910CE"/>
    <w:rsid w:val="003D4166"/>
    <w:rsid w:val="004C6C5E"/>
    <w:rsid w:val="006272E2"/>
    <w:rsid w:val="0067178D"/>
    <w:rsid w:val="007C2190"/>
    <w:rsid w:val="008C1DF2"/>
    <w:rsid w:val="008C35DF"/>
    <w:rsid w:val="008E0B80"/>
    <w:rsid w:val="00B949CB"/>
    <w:rsid w:val="00C135DC"/>
    <w:rsid w:val="00DF640D"/>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268D07AD"/>
  <w15:docId w15:val="{20B82FAD-F9FD-1B45-96A9-2E0EBAF61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6492E"/>
    <w:pPr>
      <w:spacing w:after="100"/>
    </w:pPr>
  </w:style>
  <w:style w:type="paragraph" w:styleId="TOC2">
    <w:name w:val="toc 2"/>
    <w:basedOn w:val="Normal"/>
    <w:next w:val="Normal"/>
    <w:autoRedefine/>
    <w:uiPriority w:val="39"/>
    <w:unhideWhenUsed/>
    <w:rsid w:val="0016492E"/>
    <w:pPr>
      <w:spacing w:after="100"/>
      <w:ind w:left="200"/>
    </w:pPr>
  </w:style>
  <w:style w:type="paragraph" w:styleId="Header">
    <w:name w:val="header"/>
    <w:basedOn w:val="Normal"/>
    <w:link w:val="HeaderChar"/>
    <w:uiPriority w:val="99"/>
    <w:unhideWhenUsed/>
    <w:rsid w:val="008C1DF2"/>
    <w:pPr>
      <w:tabs>
        <w:tab w:val="center" w:pos="4680"/>
        <w:tab w:val="right" w:pos="9360"/>
      </w:tabs>
    </w:pPr>
  </w:style>
  <w:style w:type="character" w:customStyle="1" w:styleId="HeaderChar">
    <w:name w:val="Header Char"/>
    <w:basedOn w:val="DefaultParagraphFont"/>
    <w:link w:val="Header"/>
    <w:uiPriority w:val="99"/>
    <w:rsid w:val="008C1DF2"/>
  </w:style>
  <w:style w:type="paragraph" w:styleId="Footer">
    <w:name w:val="footer"/>
    <w:basedOn w:val="Normal"/>
    <w:link w:val="FooterChar"/>
    <w:uiPriority w:val="99"/>
    <w:unhideWhenUsed/>
    <w:rsid w:val="008C1DF2"/>
    <w:pPr>
      <w:tabs>
        <w:tab w:val="center" w:pos="4680"/>
        <w:tab w:val="right" w:pos="9360"/>
      </w:tabs>
    </w:pPr>
  </w:style>
  <w:style w:type="character" w:customStyle="1" w:styleId="FooterChar">
    <w:name w:val="Footer Char"/>
    <w:basedOn w:val="DefaultParagraphFont"/>
    <w:link w:val="Footer"/>
    <w:uiPriority w:val="99"/>
    <w:rsid w:val="008C1DF2"/>
  </w:style>
  <w:style w:type="paragraph" w:styleId="NormalWeb">
    <w:name w:val="Normal (Web)"/>
    <w:basedOn w:val="Normal"/>
    <w:uiPriority w:val="99"/>
    <w:semiHidden/>
    <w:unhideWhenUsed/>
    <w:rsid w:val="0067178D"/>
    <w:pPr>
      <w:spacing w:before="100" w:beforeAutospacing="1" w:after="100" w:afterAutospacing="1"/>
    </w:pPr>
    <w:rPr>
      <w:sz w:val="24"/>
      <w:szCs w:val="24"/>
    </w:rPr>
  </w:style>
  <w:style w:type="character" w:styleId="Strong">
    <w:name w:val="Strong"/>
    <w:basedOn w:val="DefaultParagraphFont"/>
    <w:uiPriority w:val="22"/>
    <w:qFormat/>
    <w:rsid w:val="006717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18</Pages>
  <Words>4974</Words>
  <Characters>28357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 Nabhan</cp:lastModifiedBy>
  <cp:revision>9</cp:revision>
  <dcterms:created xsi:type="dcterms:W3CDTF">2026-07-11T13:14:00Z</dcterms:created>
  <dcterms:modified xsi:type="dcterms:W3CDTF">2026-07-13T12:15:00Z</dcterms:modified>
</cp:coreProperties>
</file>