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ED197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Don’t do an inherited thrombophilia evaluation for women with histories of pregnancy loss, fetal growth restriction (FGR), preeclampsia and abruption.</w:t>
      </w:r>
    </w:p>
    <w:p w14:paraId="714B5E53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Don’t make irreversible decisions based on the results of cell-free DNA screening test.</w:t>
      </w:r>
    </w:p>
    <w:p w14:paraId="736E9980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Don’t screen for fetal growth restriction (FGR) with Doppler blood  flow studies.</w:t>
      </w:r>
    </w:p>
    <w:p w14:paraId="7503AD5F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Don’t use progestogens for preterm birth prevention in uncomplicated multifetal gestations.</w:t>
      </w:r>
    </w:p>
    <w:p w14:paraId="291F08AE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Don't perform routine cervical length screening for preterm birth risk assessment in asymptomatic women before 16 weeks of gestation or beyond 24 weeks of gestation.</w:t>
      </w:r>
    </w:p>
    <w:p w14:paraId="269CB5BB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Don't perform antenatal testing on women with the diagnosis of gestational diabetes who are well controlled by diet alone and without other indications for testing.</w:t>
      </w:r>
    </w:p>
    <w:p w14:paraId="64F49B73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Don't place women, even those at high-risk, on activity restriction to prevent preterm birth.</w:t>
      </w:r>
    </w:p>
    <w:p w14:paraId="16FC86C9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Don't order serum aneuploidy screening after cfDNA aneuploidy screening has already been performed.</w:t>
      </w:r>
    </w:p>
    <w:p w14:paraId="70CB9818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Don't perform maternal serologic studies for cytomegalovirus and toxoplasma as part of routine prenatal laboratory studies.</w:t>
      </w:r>
    </w:p>
    <w:p w14:paraId="4D96D112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Don't recommend diagnostic testing following sonographic identification of an isolated echogenic intracardiac focus (EIF) or choroid plexus cyst (CPC) in women with low-risk aneuploidy screening results.</w:t>
      </w:r>
    </w:p>
    <w:p w14:paraId="2DDF7F39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Don't perform serial cervical length measurement following cerclage placement.</w:t>
      </w:r>
    </w:p>
    <w:p w14:paraId="722085D2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Don't test women for MTHFR mutations.</w:t>
      </w:r>
    </w:p>
    <w:p w14:paraId="64BABA81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Don't screen asymptomatic pregnant women for subclinical hypothyroidism.</w:t>
      </w:r>
    </w:p>
    <w:p w14:paraId="6A91D262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Don’t perform routine cell-free DNA screening for microdeletions.</w:t>
      </w:r>
    </w:p>
    <w:p w14:paraId="7740EC8A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Don’t perform routine midtrimester serum biomarker risk stratification for preterm birth or preeclampsia in asymptomatic patients.</w:t>
      </w:r>
    </w:p>
    <w:p w14:paraId="10BF5C67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Don’t recommend delivery in a nondiabetic patient for suspected macrosomia before 39 0/7 weeks of gestation.</w:t>
      </w:r>
    </w:p>
    <w:p w14:paraId="18488F0C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Don’t routinely exclude women with two prior low transverse cesarean deliveries from having the choice to undertake a trial of labor after cesarean.</w:t>
      </w:r>
    </w:p>
    <w:p w14:paraId="32A4789B" w14:textId="77777777" w:rsidR="00795794" w:rsidRPr="00795794" w:rsidRDefault="00795794" w:rsidP="00795794">
      <w:pPr>
        <w:rPr>
          <w:lang w:val="en-EG"/>
        </w:rPr>
      </w:pPr>
      <w:r w:rsidRPr="00795794">
        <w:rPr>
          <w:lang w:val="en-EG"/>
        </w:rPr>
        <w:t> Don’t perform 3rd trimester Group B streptococcus (GBS) culture in patients with GBS bacteriuria during pregnancy.</w:t>
      </w:r>
    </w:p>
    <w:p w14:paraId="49482ED0" w14:textId="77777777" w:rsidR="00FF66B7" w:rsidRPr="00795794" w:rsidRDefault="00FF66B7" w:rsidP="00795794">
      <w:pPr>
        <w:rPr>
          <w:lang w:val="en-EG"/>
        </w:rPr>
      </w:pPr>
    </w:p>
    <w:sectPr w:rsidR="00FF66B7" w:rsidRPr="00795794" w:rsidSect="00795794">
      <w:pgSz w:w="11900" w:h="16840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10B75"/>
    <w:multiLevelType w:val="multilevel"/>
    <w:tmpl w:val="06A2A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9109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794"/>
    <w:rsid w:val="00241C76"/>
    <w:rsid w:val="00310AAF"/>
    <w:rsid w:val="00355938"/>
    <w:rsid w:val="003B2820"/>
    <w:rsid w:val="00567C3D"/>
    <w:rsid w:val="005A0815"/>
    <w:rsid w:val="00636646"/>
    <w:rsid w:val="00795794"/>
    <w:rsid w:val="00B83135"/>
    <w:rsid w:val="00C7457D"/>
    <w:rsid w:val="00C92F79"/>
    <w:rsid w:val="00E3364E"/>
    <w:rsid w:val="00FF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6A0188E"/>
  <w15:chartTrackingRefBased/>
  <w15:docId w15:val="{7346BF70-323D-CA43-AE05-BC77D7BCC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7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7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7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7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7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7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7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7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7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7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7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304</Words>
  <Characters>1737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Ashraf Nabhan</dc:creator>
  <cp:keywords/>
  <dc:description/>
  <cp:lastModifiedBy>Ashraf Nabhan</cp:lastModifiedBy>
  <cp:revision>1</cp:revision>
  <dcterms:created xsi:type="dcterms:W3CDTF">2025-10-14T09:00:00Z</dcterms:created>
  <dcterms:modified xsi:type="dcterms:W3CDTF">2025-10-14T12:55:00Z</dcterms:modified>
</cp:coreProperties>
</file>