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Obstetricians’ Knowledge of Non-Recommended pregnancy and childbirth Practices: A cross-sectional e-survey protocol</w:t>
      </w:r>
    </w:p>
    <w:bookmarkStart w:id="36" w:name="study-protocol"/>
    <w:p>
      <w:pPr>
        <w:pStyle w:val="Heading1"/>
      </w:pPr>
      <w:r>
        <w:t xml:space="preserve">Study Protocol</w:t>
      </w:r>
    </w:p>
    <w:bookmarkStart w:id="20" w:name="background-and-rationale"/>
    <w:p>
      <w:pPr>
        <w:pStyle w:val="Heading2"/>
      </w:pPr>
      <w:r>
        <w:t xml:space="preserve">Background and rationale</w:t>
      </w:r>
    </w:p>
    <w:p>
      <w:pPr>
        <w:pStyle w:val="FirstParagraph"/>
      </w:pPr>
      <w:r>
        <w:t xml:space="preserve">Evidence-based medicine underpins the delivery of high-quality obstetric care by promoting clinical decisions grounded in robust research evidence, professional expertise, and patient-centered values. Despite the availability of comprehensive evidence-based guidelines, numerous studies have demonstrated the persistent use of interventions and diagnostic practices in obstetrics that are not supported—or are explicitly discouraged—by current evidence. Inadequate knowledge of the best available research evidence can lead to unnecessary procedures, patient distress, increased healthcare costs, and possible avoidable complications. This can have negative repercussions on healthcare quality and equity, particularly in Low and Middle Income Countries</w:t>
      </w:r>
      <w:r>
        <w:t xml:space="preserve"> </w:t>
      </w:r>
      <w:r>
        <w:t xml:space="preserve">(Albarqouni et al. 2023)</w:t>
      </w:r>
    </w:p>
    <w:p>
      <w:pPr>
        <w:pStyle w:val="BodyText"/>
      </w:pPr>
      <w:r>
        <w:t xml:space="preserve">Assessing the level of knowledge among obstetricians regarding non-recommended interventions is therefore essential to understanding the factors contributing to their continued use. This survey seeks to evaluate obstetricians’ awareness and understanding of selected tests and interventions that are inconsistent with evidence-based recommendations. The findings are expected to highlight potential knowledge gaps, inform targeted educational strategies, and ultimately support the alignment of clinical practice with the best available evidence.</w:t>
      </w:r>
    </w:p>
    <w:bookmarkEnd w:id="20"/>
    <w:bookmarkStart w:id="21" w:name="objectives"/>
    <w:p>
      <w:pPr>
        <w:pStyle w:val="Heading2"/>
      </w:pPr>
      <w:r>
        <w:t xml:space="preserve">Objectives</w:t>
      </w:r>
    </w:p>
    <w:p>
      <w:pPr>
        <w:numPr>
          <w:ilvl w:val="0"/>
          <w:numId w:val="1001"/>
        </w:numPr>
      </w:pPr>
      <w:r>
        <w:t xml:space="preserve">Primary objective: to estimate the proportion of practicing obstetricians who correctly identify that a given test or intervention is</w:t>
      </w:r>
      <w:r>
        <w:t xml:space="preserve"> </w:t>
      </w:r>
      <w:r>
        <w:rPr>
          <w:b/>
          <w:bCs/>
        </w:rPr>
        <w:t xml:space="preserve">not</w:t>
      </w:r>
      <w:r>
        <w:t xml:space="preserve"> </w:t>
      </w:r>
      <w:r>
        <w:t xml:space="preserve">recommended by evidence-based guidelines.</w:t>
      </w:r>
    </w:p>
    <w:p>
      <w:pPr>
        <w:numPr>
          <w:ilvl w:val="0"/>
          <w:numId w:val="1001"/>
        </w:numPr>
      </w:pPr>
      <w:r>
        <w:t xml:space="preserve">Secondary objectives: to identify</w:t>
      </w:r>
    </w:p>
    <w:p>
      <w:pPr>
        <w:numPr>
          <w:ilvl w:val="1"/>
          <w:numId w:val="1002"/>
        </w:numPr>
      </w:pPr>
      <w:r>
        <w:t xml:space="preserve">physician characteristics associated with adequate knowledge.</w:t>
      </w:r>
    </w:p>
    <w:p>
      <w:pPr>
        <w:numPr>
          <w:ilvl w:val="1"/>
          <w:numId w:val="1002"/>
        </w:numPr>
      </w:pPr>
      <w:r>
        <w:t xml:space="preserve">perceived barriers to guideline adherence</w:t>
      </w:r>
    </w:p>
    <w:p>
      <w:pPr>
        <w:numPr>
          <w:ilvl w:val="1"/>
          <w:numId w:val="1002"/>
        </w:numPr>
      </w:pPr>
      <w:r>
        <w:t xml:space="preserve">preferred educational formats.</w:t>
      </w:r>
    </w:p>
    <w:bookmarkEnd w:id="21"/>
    <w:bookmarkStart w:id="22" w:name="study-design"/>
    <w:p>
      <w:pPr>
        <w:pStyle w:val="Heading2"/>
      </w:pPr>
      <w:r>
        <w:t xml:space="preserve">Study design</w:t>
      </w:r>
    </w:p>
    <w:p>
      <w:pPr>
        <w:pStyle w:val="FirstParagraph"/>
      </w:pPr>
      <w:r>
        <w:t xml:space="preserve">Observational, cross-sectional survey using an anonymous e-survey. The web-based form will be distributed in May 2026 using the secured university MS forms.</w:t>
      </w:r>
    </w:p>
    <w:bookmarkEnd w:id="22"/>
    <w:bookmarkStart w:id="23" w:name="eligibility-criteria"/>
    <w:p>
      <w:pPr>
        <w:pStyle w:val="Heading2"/>
      </w:pPr>
      <w:r>
        <w:t xml:space="preserve">Eligibility criteria</w:t>
      </w:r>
    </w:p>
    <w:p>
      <w:pPr>
        <w:numPr>
          <w:ilvl w:val="0"/>
          <w:numId w:val="1003"/>
        </w:numPr>
      </w:pPr>
      <w:r>
        <w:t xml:space="preserve">Inclusion criteria</w:t>
      </w:r>
    </w:p>
    <w:p>
      <w:pPr>
        <w:numPr>
          <w:ilvl w:val="1"/>
          <w:numId w:val="1004"/>
        </w:numPr>
      </w:pPr>
      <w:r>
        <w:t xml:space="preserve">Medical doctors currently practicing as obstetricians in clinical practice in Egypt.</w:t>
      </w:r>
    </w:p>
    <w:p>
      <w:pPr>
        <w:numPr>
          <w:ilvl w:val="1"/>
          <w:numId w:val="1004"/>
        </w:numPr>
      </w:pPr>
      <w:r>
        <w:t xml:space="preserve">Agree to participate (implied consent by survey completion).</w:t>
      </w:r>
    </w:p>
    <w:p>
      <w:pPr>
        <w:numPr>
          <w:ilvl w:val="0"/>
          <w:numId w:val="1003"/>
        </w:numPr>
      </w:pPr>
      <w:r>
        <w:t xml:space="preserve">Exclusion criteria</w:t>
      </w:r>
    </w:p>
    <w:p>
      <w:pPr>
        <w:pStyle w:val="Compact"/>
        <w:numPr>
          <w:ilvl w:val="1"/>
          <w:numId w:val="1005"/>
        </w:numPr>
      </w:pPr>
      <w:r>
        <w:t xml:space="preserve">Fresh graduates and house officers.</w:t>
      </w:r>
    </w:p>
    <w:bookmarkEnd w:id="23"/>
    <w:bookmarkStart w:id="24" w:name="sampling-and-recruitment"/>
    <w:p>
      <w:pPr>
        <w:pStyle w:val="Heading2"/>
      </w:pPr>
      <w:r>
        <w:t xml:space="preserve">Sampling and recruitment</w:t>
      </w:r>
    </w:p>
    <w:p>
      <w:pPr>
        <w:numPr>
          <w:ilvl w:val="0"/>
          <w:numId w:val="1006"/>
        </w:numPr>
      </w:pPr>
      <w:r>
        <w:t xml:space="preserve">Convenience sample</w:t>
      </w:r>
    </w:p>
    <w:p>
      <w:pPr>
        <w:numPr>
          <w:ilvl w:val="0"/>
          <w:numId w:val="1006"/>
        </w:numPr>
      </w:pPr>
      <w:r>
        <w:t xml:space="preserve">Recruitment procedure: visits to hospital departments and antenatal care clinics to improve response rates.</w:t>
      </w:r>
    </w:p>
    <w:bookmarkEnd w:id="24"/>
    <w:bookmarkStart w:id="25" w:name="questionnaire-development"/>
    <w:p>
      <w:pPr>
        <w:pStyle w:val="Heading2"/>
      </w:pPr>
      <w:r>
        <w:t xml:space="preserve">Questionnaire development</w:t>
      </w:r>
    </w:p>
    <w:p>
      <w:pPr>
        <w:numPr>
          <w:ilvl w:val="0"/>
          <w:numId w:val="1007"/>
        </w:numPr>
      </w:pPr>
      <w:r>
        <w:t xml:space="preserve">Questionnaire sections</w:t>
      </w:r>
    </w:p>
    <w:p>
      <w:pPr>
        <w:numPr>
          <w:ilvl w:val="1"/>
          <w:numId w:val="1008"/>
        </w:numPr>
      </w:pPr>
      <w:r>
        <w:t xml:space="preserve">Participant demographics and practice characteristics</w:t>
      </w:r>
    </w:p>
    <w:p>
      <w:pPr>
        <w:numPr>
          <w:ilvl w:val="1"/>
          <w:numId w:val="1008"/>
        </w:numPr>
      </w:pPr>
      <w:r>
        <w:t xml:space="preserve">Knowledge items about specific tests or interventions</w:t>
      </w:r>
    </w:p>
    <w:p>
      <w:pPr>
        <w:numPr>
          <w:ilvl w:val="1"/>
          <w:numId w:val="1008"/>
        </w:numPr>
      </w:pPr>
      <w:r>
        <w:t xml:space="preserve">Attitudes and barriers to guideline adherence</w:t>
      </w:r>
    </w:p>
    <w:p>
      <w:pPr>
        <w:numPr>
          <w:ilvl w:val="1"/>
          <w:numId w:val="1008"/>
        </w:numPr>
      </w:pPr>
      <w:r>
        <w:t xml:space="preserve">Sources of clinical information and preferred educational formats</w:t>
      </w:r>
    </w:p>
    <w:p>
      <w:pPr>
        <w:numPr>
          <w:ilvl w:val="0"/>
          <w:numId w:val="1007"/>
        </w:numPr>
      </w:pPr>
      <w:r>
        <w:t xml:space="preserve">Tests and interventions</w:t>
      </w:r>
    </w:p>
    <w:p>
      <w:pPr>
        <w:numPr>
          <w:ilvl w:val="1"/>
          <w:numId w:val="1009"/>
        </w:numPr>
      </w:pPr>
      <w:r>
        <w:t xml:space="preserve">Do an inherited thrombophilia evaluation for women with histories of pregnancy loss, fetal growth restriction (FGR), preeclampsia and abruption.</w:t>
      </w:r>
    </w:p>
    <w:p>
      <w:pPr>
        <w:numPr>
          <w:ilvl w:val="1"/>
          <w:numId w:val="1009"/>
        </w:numPr>
      </w:pPr>
      <w:r>
        <w:t xml:space="preserve">Screen for fetal growth restriction (FGR) with Doppler blood flow studies.</w:t>
      </w:r>
    </w:p>
    <w:p>
      <w:pPr>
        <w:numPr>
          <w:ilvl w:val="1"/>
          <w:numId w:val="1009"/>
        </w:numPr>
      </w:pPr>
      <w:r>
        <w:t xml:space="preserve">Use progestogens for preterm birth prevention in uncomplicated multifetal gestations.</w:t>
      </w:r>
    </w:p>
    <w:p>
      <w:pPr>
        <w:numPr>
          <w:ilvl w:val="1"/>
          <w:numId w:val="1009"/>
        </w:numPr>
      </w:pPr>
      <w:r>
        <w:t xml:space="preserve">Perform routine cervical length screening for preterm birth risk assessment in asymptomatic women before 16 weeks of gestation or beyond 24 weeks of gestation.</w:t>
      </w:r>
    </w:p>
    <w:p>
      <w:pPr>
        <w:numPr>
          <w:ilvl w:val="1"/>
          <w:numId w:val="1009"/>
        </w:numPr>
      </w:pPr>
      <w:r>
        <w:t xml:space="preserve">Perform antenatal fetal wellbeing testing on women with the diagnosis of gestational diabetes who are well controlled by diet alone and without other indications for testing.</w:t>
      </w:r>
    </w:p>
    <w:p>
      <w:pPr>
        <w:numPr>
          <w:ilvl w:val="1"/>
          <w:numId w:val="1009"/>
        </w:numPr>
      </w:pPr>
      <w:r>
        <w:t xml:space="preserve">Place women, even those at high-risk, on activity restriction to prevent preterm birth.</w:t>
      </w:r>
    </w:p>
    <w:p>
      <w:pPr>
        <w:numPr>
          <w:ilvl w:val="1"/>
          <w:numId w:val="1009"/>
        </w:numPr>
      </w:pPr>
      <w:r>
        <w:t xml:space="preserve">Perform maternal serologic studies for cytomegalovirus and toxoplasma as part of routine prenatal laboratory studies.</w:t>
      </w:r>
    </w:p>
    <w:p>
      <w:pPr>
        <w:numPr>
          <w:ilvl w:val="1"/>
          <w:numId w:val="1009"/>
        </w:numPr>
      </w:pPr>
      <w:r>
        <w:t xml:space="preserve">Perform serial cervical length measurement following cerclage placement.</w:t>
      </w:r>
    </w:p>
    <w:p>
      <w:pPr>
        <w:numPr>
          <w:ilvl w:val="1"/>
          <w:numId w:val="1009"/>
        </w:numPr>
      </w:pPr>
      <w:r>
        <w:t xml:space="preserve">Test women for methylenetetrahydrofolate reductase (MTHFR) mutations.</w:t>
      </w:r>
    </w:p>
    <w:p>
      <w:pPr>
        <w:numPr>
          <w:ilvl w:val="1"/>
          <w:numId w:val="1009"/>
        </w:numPr>
      </w:pPr>
      <w:r>
        <w:t xml:space="preserve">Screen asymptomatic pregnant women for subclinical hypothyroidism.</w:t>
      </w:r>
    </w:p>
    <w:p>
      <w:pPr>
        <w:numPr>
          <w:ilvl w:val="1"/>
          <w:numId w:val="1009"/>
        </w:numPr>
      </w:pPr>
      <w:r>
        <w:t xml:space="preserve">Perform routine cell-free DNA screening for microdeletions.</w:t>
      </w:r>
    </w:p>
    <w:p>
      <w:pPr>
        <w:numPr>
          <w:ilvl w:val="1"/>
          <w:numId w:val="1009"/>
        </w:numPr>
      </w:pPr>
      <w:r>
        <w:t xml:space="preserve">Perform routine midtrimester serum biomarker risk stratification for preterm birth or preeclampsia in asymptomatic women.</w:t>
      </w:r>
    </w:p>
    <w:p>
      <w:pPr>
        <w:numPr>
          <w:ilvl w:val="1"/>
          <w:numId w:val="1009"/>
        </w:numPr>
      </w:pPr>
      <w:r>
        <w:t xml:space="preserve">Recommend delivery in a nondiabetic patient for suspected macrosomia before 39 0/7 weeks of gestation.</w:t>
      </w:r>
    </w:p>
    <w:p>
      <w:pPr>
        <w:numPr>
          <w:ilvl w:val="1"/>
          <w:numId w:val="1009"/>
        </w:numPr>
      </w:pPr>
      <w:r>
        <w:t xml:space="preserve">Do routine episiotomy in spontaneous vaginal births.</w:t>
      </w:r>
    </w:p>
    <w:p>
      <w:pPr>
        <w:numPr>
          <w:ilvl w:val="1"/>
          <w:numId w:val="1009"/>
        </w:numPr>
      </w:pPr>
      <w:r>
        <w:t xml:space="preserve">Do electronic fetal monitoring for low risk women in labor.</w:t>
      </w:r>
    </w:p>
    <w:p>
      <w:pPr>
        <w:numPr>
          <w:ilvl w:val="1"/>
          <w:numId w:val="1009"/>
        </w:numPr>
      </w:pPr>
      <w:r>
        <w:t xml:space="preserve">Perform umbilical artery Doppler studies as a routine screening test in uncomplicated pregnancies with normal fetal growth.</w:t>
      </w:r>
    </w:p>
    <w:p>
      <w:pPr>
        <w:numPr>
          <w:ilvl w:val="1"/>
          <w:numId w:val="1009"/>
        </w:numPr>
      </w:pPr>
      <w:r>
        <w:t xml:space="preserve">Do a cesarean delivery for failure of progress in labor in the latent phase of labor for a woman at term with a singleton fetus and vertex presentation.</w:t>
      </w:r>
    </w:p>
    <w:p>
      <w:pPr>
        <w:numPr>
          <w:ilvl w:val="1"/>
          <w:numId w:val="1009"/>
        </w:numPr>
      </w:pPr>
      <w:r>
        <w:t xml:space="preserve">Proceed to the early clamping (before 1 minute after birth) of the umbilical cord in preterm births.</w:t>
      </w:r>
    </w:p>
    <w:p>
      <w:pPr>
        <w:numPr>
          <w:ilvl w:val="1"/>
          <w:numId w:val="1009"/>
        </w:numPr>
      </w:pPr>
      <w:r>
        <w:t xml:space="preserve">Schedule routine repeated cesarean section (CS) in all the pregnant women with a previous cesarean section.</w:t>
      </w:r>
    </w:p>
    <w:bookmarkEnd w:id="25"/>
    <w:bookmarkStart w:id="26" w:name="pilot-and-content-validation"/>
    <w:p>
      <w:pPr>
        <w:pStyle w:val="Heading2"/>
      </w:pPr>
      <w:r>
        <w:t xml:space="preserve">Pilot and content validation</w:t>
      </w:r>
    </w:p>
    <w:p>
      <w:pPr>
        <w:numPr>
          <w:ilvl w:val="0"/>
          <w:numId w:val="1010"/>
        </w:numPr>
      </w:pPr>
      <w:r>
        <w:t xml:space="preserve">Draft questionnaire will be reviewed by one content experts (senior obstetrician) and one methodologist for face validity.</w:t>
      </w:r>
    </w:p>
    <w:p>
      <w:pPr>
        <w:numPr>
          <w:ilvl w:val="0"/>
          <w:numId w:val="1010"/>
        </w:numPr>
      </w:pPr>
      <w:r>
        <w:t xml:space="preserve">Pilot testing</w:t>
      </w:r>
    </w:p>
    <w:p>
      <w:pPr>
        <w:numPr>
          <w:ilvl w:val="1"/>
          <w:numId w:val="1011"/>
        </w:numPr>
      </w:pPr>
      <w:r>
        <w:t xml:space="preserve">Pilot with three respondents representative of target population.</w:t>
      </w:r>
    </w:p>
    <w:p>
      <w:pPr>
        <w:numPr>
          <w:ilvl w:val="1"/>
          <w:numId w:val="1011"/>
        </w:numPr>
      </w:pPr>
      <w:r>
        <w:t xml:space="preserve">Assess completion time, item clarity, technical issues, and initial distribution of responses.</w:t>
      </w:r>
    </w:p>
    <w:p>
      <w:pPr>
        <w:numPr>
          <w:ilvl w:val="1"/>
          <w:numId w:val="1011"/>
        </w:numPr>
      </w:pPr>
      <w:r>
        <w:t xml:space="preserve">Revise questionnaire and platform per pilot findings.</w:t>
      </w:r>
    </w:p>
    <w:bookmarkEnd w:id="26"/>
    <w:bookmarkStart w:id="27" w:name="sample-size-calculation"/>
    <w:p>
      <w:pPr>
        <w:pStyle w:val="Heading2"/>
      </w:pPr>
      <w:r>
        <w:t xml:space="preserve">Sample size calculation</w:t>
      </w:r>
    </w:p>
    <w:p>
      <w:pPr>
        <w:pStyle w:val="Compact"/>
        <w:numPr>
          <w:ilvl w:val="0"/>
          <w:numId w:val="1012"/>
        </w:numPr>
      </w:pPr>
      <w:r>
        <w:t xml:space="preserve">Primary outcome: proportion with correct knowledge of the non-recommended practices.</w:t>
      </w:r>
    </w:p>
    <w:p>
      <w:pPr>
        <w:pStyle w:val="FirstParagraph"/>
      </w:pPr>
      <w:r>
        <w:t xml:space="preserve">As no prior data are available to estimate the expected proportion, a conservative assumption of p = 0.5 was used to maximize the required sample size. For a 99% confidence level (Z = 2.576) and a 10% margin of error (d = 0.10), the minimum calculated sample size is 167 participants. To allow for an anticipated non-response rate of 20%, the total number of invitations is increased to 200 participants.</w:t>
      </w:r>
      <w:r>
        <w:t xml:space="preserve"> </w:t>
      </w:r>
      <w:r>
        <w:t xml:space="preserve">(Dean, Sullivan, and Soe 2013)</w:t>
      </w:r>
    </w:p>
    <w:bookmarkEnd w:id="27"/>
    <w:bookmarkStart w:id="28" w:name="data-collection-procedures"/>
    <w:p>
      <w:pPr>
        <w:pStyle w:val="Heading2"/>
      </w:pPr>
      <w:r>
        <w:t xml:space="preserve">Data collection procedures</w:t>
      </w:r>
    </w:p>
    <w:p>
      <w:pPr>
        <w:numPr>
          <w:ilvl w:val="0"/>
          <w:numId w:val="1013"/>
        </w:numPr>
      </w:pPr>
      <w:r>
        <w:t xml:space="preserve">Implement e-survey in a secured university MS form.</w:t>
      </w:r>
    </w:p>
    <w:p>
      <w:pPr>
        <w:numPr>
          <w:ilvl w:val="0"/>
          <w:numId w:val="1013"/>
        </w:numPr>
      </w:pPr>
      <w:r>
        <w:t xml:space="preserve">Ensure anonymity: we will not collect identifiable data</w:t>
      </w:r>
    </w:p>
    <w:bookmarkEnd w:id="28"/>
    <w:bookmarkStart w:id="29" w:name="ethical-considerations"/>
    <w:p>
      <w:pPr>
        <w:pStyle w:val="Heading2"/>
      </w:pPr>
      <w:r>
        <w:t xml:space="preserve">Ethical considerations</w:t>
      </w:r>
    </w:p>
    <w:p>
      <w:pPr>
        <w:numPr>
          <w:ilvl w:val="0"/>
          <w:numId w:val="1014"/>
        </w:numPr>
      </w:pPr>
      <w:r>
        <w:t xml:space="preserve">Submit protocol to Ain Shams institutional review board (IRB).</w:t>
      </w:r>
    </w:p>
    <w:p>
      <w:pPr>
        <w:numPr>
          <w:ilvl w:val="0"/>
          <w:numId w:val="1014"/>
        </w:numPr>
      </w:pPr>
      <w:r>
        <w:t xml:space="preserve">No risk: survey of professionals knowledge with complete anonymity.</w:t>
      </w:r>
    </w:p>
    <w:p>
      <w:pPr>
        <w:numPr>
          <w:ilvl w:val="0"/>
          <w:numId w:val="1014"/>
        </w:numPr>
      </w:pPr>
      <w:r>
        <w:t xml:space="preserve">Consent: will include brief information on purpose, voluntary nature, and data use. Proceeding to the survey implies consent.</w:t>
      </w:r>
    </w:p>
    <w:p>
      <w:pPr>
        <w:numPr>
          <w:ilvl w:val="0"/>
          <w:numId w:val="1014"/>
        </w:numPr>
      </w:pPr>
      <w:r>
        <w:t xml:space="preserve">Data storage: store anonymous data on encrypted institutional servers.</w:t>
      </w:r>
    </w:p>
    <w:bookmarkEnd w:id="29"/>
    <w:bookmarkStart w:id="30" w:name="consent-text"/>
    <w:p>
      <w:pPr>
        <w:pStyle w:val="Heading2"/>
      </w:pPr>
      <w:r>
        <w:t xml:space="preserve">Consent text</w:t>
      </w:r>
    </w:p>
    <w:p>
      <w:pPr>
        <w:pStyle w:val="FirstParagraph"/>
      </w:pPr>
      <w:r>
        <w:t xml:space="preserve">You are invited to participate in a research survey about obstetric tests and interventions. Participation is voluntary and anonymous. The survey takes 10 minutes. Results will be reported in aggregate only. By proceeding you give consent for your anonymous responses to be used for research and publications.</w:t>
      </w:r>
    </w:p>
    <w:bookmarkEnd w:id="30"/>
    <w:bookmarkStart w:id="31" w:name="data-management"/>
    <w:p>
      <w:pPr>
        <w:pStyle w:val="Heading2"/>
      </w:pPr>
      <w:r>
        <w:t xml:space="preserve">Data management</w:t>
      </w:r>
    </w:p>
    <w:p>
      <w:pPr>
        <w:numPr>
          <w:ilvl w:val="0"/>
          <w:numId w:val="1015"/>
        </w:numPr>
      </w:pPr>
      <w:r>
        <w:t xml:space="preserve">Export data to R software.</w:t>
      </w:r>
    </w:p>
    <w:p>
      <w:pPr>
        <w:numPr>
          <w:ilvl w:val="0"/>
          <w:numId w:val="1015"/>
        </w:numPr>
      </w:pPr>
      <w:r>
        <w:t xml:space="preserve">Store raw data for three years per institutional policy.</w:t>
      </w:r>
    </w:p>
    <w:bookmarkEnd w:id="31"/>
    <w:bookmarkStart w:id="32" w:name="statistical-analysis-plan"/>
    <w:p>
      <w:pPr>
        <w:pStyle w:val="Heading2"/>
      </w:pPr>
      <w:r>
        <w:t xml:space="preserve">Statistical analysis plan</w:t>
      </w:r>
    </w:p>
    <w:p>
      <w:pPr>
        <w:numPr>
          <w:ilvl w:val="0"/>
          <w:numId w:val="1016"/>
        </w:numPr>
      </w:pPr>
      <w:r>
        <w:t xml:space="preserve">Descriptive</w:t>
      </w:r>
    </w:p>
    <w:p>
      <w:pPr>
        <w:numPr>
          <w:ilvl w:val="1"/>
          <w:numId w:val="1017"/>
        </w:numPr>
      </w:pPr>
      <w:r>
        <w:t xml:space="preserve">Participant characteristics: frequencies/percentages for categorical variables, mean ± SD or median (IQR) for continuous variables.</w:t>
      </w:r>
    </w:p>
    <w:p>
      <w:pPr>
        <w:numPr>
          <w:ilvl w:val="1"/>
          <w:numId w:val="1017"/>
        </w:numPr>
      </w:pPr>
      <w:r>
        <w:t xml:space="preserve">Proportion correct for each knowledge item with 95% CI.</w:t>
      </w:r>
    </w:p>
    <w:p>
      <w:pPr>
        <w:numPr>
          <w:ilvl w:val="1"/>
          <w:numId w:val="1017"/>
        </w:numPr>
      </w:pPr>
      <w:r>
        <w:t xml:space="preserve">Total knowledge score = sum(correct items). Transform to percentage correct.</w:t>
      </w:r>
    </w:p>
    <w:p>
      <w:pPr>
        <w:numPr>
          <w:ilvl w:val="1"/>
          <w:numId w:val="1017"/>
        </w:numPr>
      </w:pPr>
      <w:r>
        <w:t xml:space="preserve">Categorize knowledge ( Q1 = High, Q2 = moderate, Q3 = low, Q4 = very low)</w:t>
      </w:r>
    </w:p>
    <w:p>
      <w:pPr>
        <w:numPr>
          <w:ilvl w:val="0"/>
          <w:numId w:val="1016"/>
        </w:numPr>
      </w:pPr>
      <w:r>
        <w:t xml:space="preserve">Inferential</w:t>
      </w:r>
    </w:p>
    <w:p>
      <w:pPr>
        <w:numPr>
          <w:ilvl w:val="1"/>
          <w:numId w:val="1018"/>
        </w:numPr>
      </w:pPr>
      <w:r>
        <w:t xml:space="preserve">Binomial Exact test.</w:t>
      </w:r>
    </w:p>
    <w:p>
      <w:pPr>
        <w:numPr>
          <w:ilvl w:val="1"/>
          <w:numId w:val="1018"/>
        </w:numPr>
      </w:pPr>
      <w:r>
        <w:t xml:space="preserve">Logistic regression: outcome = adequate knowledge (q1 and q2) (binary) to estimate adjusted odds ratios for predictors (years since qualification, practice type).</w:t>
      </w:r>
    </w:p>
    <w:p>
      <w:pPr>
        <w:numPr>
          <w:ilvl w:val="0"/>
          <w:numId w:val="1016"/>
        </w:numPr>
      </w:pPr>
      <w:r>
        <w:t xml:space="preserve">Missing data</w:t>
      </w:r>
    </w:p>
    <w:p>
      <w:pPr>
        <w:pStyle w:val="Compact"/>
        <w:numPr>
          <w:ilvl w:val="1"/>
          <w:numId w:val="1019"/>
        </w:numPr>
      </w:pPr>
      <w:r>
        <w:t xml:space="preserve">All fields of the e-survey will be required. This will ensure a complete data set.</w:t>
      </w:r>
    </w:p>
    <w:p>
      <w:pPr>
        <w:numPr>
          <w:ilvl w:val="0"/>
          <w:numId w:val="1016"/>
        </w:numPr>
      </w:pPr>
      <w:r>
        <w:t xml:space="preserve">Statistical significance</w:t>
      </w:r>
    </w:p>
    <w:p>
      <w:pPr>
        <w:pStyle w:val="Compact"/>
        <w:numPr>
          <w:ilvl w:val="1"/>
          <w:numId w:val="1020"/>
        </w:numPr>
      </w:pPr>
      <w:r>
        <w:t xml:space="preserve">Two-sided tests; p&lt;0.05 considered significant.</w:t>
      </w:r>
    </w:p>
    <w:p>
      <w:pPr>
        <w:numPr>
          <w:ilvl w:val="0"/>
          <w:numId w:val="1016"/>
        </w:numPr>
      </w:pPr>
      <w:r>
        <w:t xml:space="preserve">Software: R v4.5</w:t>
      </w:r>
      <w:r>
        <w:t xml:space="preserve"> </w:t>
      </w:r>
      <w:r>
        <w:t xml:space="preserve">(2025)</w:t>
      </w:r>
    </w:p>
    <w:bookmarkEnd w:id="32"/>
    <w:bookmarkStart w:id="33" w:name="limitation"/>
    <w:p>
      <w:pPr>
        <w:pStyle w:val="Heading2"/>
      </w:pPr>
      <w:r>
        <w:t xml:space="preserve">Limitation</w:t>
      </w:r>
    </w:p>
    <w:p>
      <w:pPr>
        <w:pStyle w:val="Compact"/>
        <w:numPr>
          <w:ilvl w:val="0"/>
          <w:numId w:val="1021"/>
        </w:numPr>
      </w:pPr>
      <w:r>
        <w:t xml:space="preserve">Sampling bias due to the use of convenience sampling.</w:t>
      </w:r>
    </w:p>
    <w:bookmarkEnd w:id="33"/>
    <w:bookmarkStart w:id="34" w:name="dissemination-plan"/>
    <w:p>
      <w:pPr>
        <w:pStyle w:val="Heading2"/>
      </w:pPr>
      <w:r>
        <w:t xml:space="preserve">Dissemination plan</w:t>
      </w:r>
    </w:p>
    <w:p>
      <w:pPr>
        <w:numPr>
          <w:ilvl w:val="0"/>
          <w:numId w:val="1022"/>
        </w:numPr>
      </w:pPr>
      <w:r>
        <w:t xml:space="preserve">Publish in peer-reviewed journal and present at conferences.</w:t>
      </w:r>
    </w:p>
    <w:p>
      <w:pPr>
        <w:numPr>
          <w:ilvl w:val="0"/>
          <w:numId w:val="1022"/>
        </w:numPr>
      </w:pPr>
      <w:r>
        <w:t xml:space="preserve">We will report the study according to the CHERRIES checklist.</w:t>
      </w:r>
      <w:r>
        <w:t xml:space="preserve"> </w:t>
      </w:r>
      <w:r>
        <w:t xml:space="preserve">(Eysenbach 2004)</w:t>
      </w:r>
    </w:p>
    <w:bookmarkEnd w:id="34"/>
    <w:bookmarkStart w:id="35" w:name="timeline"/>
    <w:p>
      <w:pPr>
        <w:pStyle w:val="Heading2"/>
      </w:pPr>
      <w:r>
        <w:t xml:space="preserve">Timeline</w:t>
      </w:r>
    </w:p>
    <w:p>
      <w:pPr>
        <w:numPr>
          <w:ilvl w:val="0"/>
          <w:numId w:val="1023"/>
        </w:numPr>
      </w:pPr>
      <w:r>
        <w:t xml:space="preserve">Week 1: questionnaire drafting</w:t>
      </w:r>
    </w:p>
    <w:p>
      <w:pPr>
        <w:numPr>
          <w:ilvl w:val="0"/>
          <w:numId w:val="1023"/>
        </w:numPr>
      </w:pPr>
      <w:r>
        <w:t xml:space="preserve">Week 2: testing and final revision</w:t>
      </w:r>
    </w:p>
    <w:p>
      <w:pPr>
        <w:numPr>
          <w:ilvl w:val="0"/>
          <w:numId w:val="1023"/>
        </w:numPr>
      </w:pPr>
      <w:r>
        <w:t xml:space="preserve">Week 3–4: Ethics approval</w:t>
      </w:r>
    </w:p>
    <w:p>
      <w:pPr>
        <w:numPr>
          <w:ilvl w:val="0"/>
          <w:numId w:val="1023"/>
        </w:numPr>
      </w:pPr>
      <w:r>
        <w:t xml:space="preserve">Week 5–6: data collection</w:t>
      </w:r>
    </w:p>
    <w:p>
      <w:pPr>
        <w:numPr>
          <w:ilvl w:val="0"/>
          <w:numId w:val="1023"/>
        </w:numPr>
      </w:pPr>
      <w:r>
        <w:t xml:space="preserve">Week 7: data analysis</w:t>
      </w:r>
    </w:p>
    <w:p>
      <w:pPr>
        <w:numPr>
          <w:ilvl w:val="0"/>
          <w:numId w:val="1023"/>
        </w:numPr>
      </w:pPr>
      <w:r>
        <w:t xml:space="preserve">Week 8: manuscript preparation and dissemination</w:t>
      </w:r>
    </w:p>
    <w:bookmarkEnd w:id="35"/>
    <w:bookmarkEnd w:id="36"/>
    <w:bookmarkStart w:id="46" w:name="references"/>
    <w:p>
      <w:pPr>
        <w:pStyle w:val="Heading1"/>
      </w:pPr>
      <w:r>
        <w:t xml:space="preserve">References</w:t>
      </w:r>
    </w:p>
    <w:bookmarkStart w:id="45" w:name="refs"/>
    <w:bookmarkStart w:id="38" w:name="ref-albarqouni2023"/>
    <w:p>
      <w:pPr>
        <w:pStyle w:val="Bibliography"/>
      </w:pPr>
      <w:r>
        <w:t xml:space="preserve">Albarqouni, Loai, Eman Abukmail, Majdeddin MohammedAli, Sewar Elejla, Mohamed Abuelazm, Hosam Shaikhkhalil, Thanya Pathirana, et al. 2023.</w:t>
      </w:r>
      <w:r>
        <w:t xml:space="preserve"> </w:t>
      </w:r>
      <w:r>
        <w:t xml:space="preserve">“Low-Value Surgical Procedures in Low- and Middle-Income Countries.”</w:t>
      </w:r>
      <w:r>
        <w:t xml:space="preserve"> </w:t>
      </w:r>
      <w:r>
        <w:rPr>
          <w:i/>
          <w:iCs/>
        </w:rPr>
        <w:t xml:space="preserve">JAMA Network Open</w:t>
      </w:r>
      <w:r>
        <w:t xml:space="preserve"> </w:t>
      </w:r>
      <w:r>
        <w:t xml:space="preserve">6 (11): e2342215.</w:t>
      </w:r>
      <w:r>
        <w:t xml:space="preserve"> </w:t>
      </w:r>
      <w:hyperlink r:id="rId37">
        <w:r>
          <w:rPr>
            <w:rStyle w:val="Hyperlink"/>
          </w:rPr>
          <w:t xml:space="preserve">https://doi.org/10.1001/jamanetworkopen.2023.42215</w:t>
        </w:r>
      </w:hyperlink>
      <w:r>
        <w:t xml:space="preserve">.</w:t>
      </w:r>
    </w:p>
    <w:bookmarkEnd w:id="38"/>
    <w:bookmarkStart w:id="40" w:name="ref-Dean2013OpenEpi"/>
    <w:p>
      <w:pPr>
        <w:pStyle w:val="Bibliography"/>
      </w:pPr>
      <w:r>
        <w:t xml:space="preserve">Dean, A. G., K. M. Sullivan, and M. M. Soe. 2013.</w:t>
      </w:r>
      <w:r>
        <w:t xml:space="preserve"> </w:t>
      </w:r>
      <w:r>
        <w:t xml:space="preserve">“OpenEpi: Open Source Epidemiologic Statistics for Public Health, Version 3.01.”</w:t>
      </w:r>
      <w:r>
        <w:t xml:space="preserve"> </w:t>
      </w:r>
      <w:hyperlink r:id="rId39">
        <w:r>
          <w:rPr>
            <w:rStyle w:val="Hyperlink"/>
          </w:rPr>
          <w:t xml:space="preserve">https://www.openepi.com</w:t>
        </w:r>
      </w:hyperlink>
      <w:r>
        <w:t xml:space="preserve">.</w:t>
      </w:r>
    </w:p>
    <w:bookmarkEnd w:id="40"/>
    <w:bookmarkStart w:id="42" w:name="ref-Eysenbach2004"/>
    <w:p>
      <w:pPr>
        <w:pStyle w:val="Bibliography"/>
      </w:pPr>
      <w:r>
        <w:t xml:space="preserve">Eysenbach, Gunther. 2004.</w:t>
      </w:r>
      <w:r>
        <w:t xml:space="preserve"> </w:t>
      </w:r>
      <w:r>
        <w:t xml:space="preserve">“Improving the Quality of Web Surveys: The Checklist for Reporting Results of Internet E-Surveys (CHERRIES).”</w:t>
      </w:r>
      <w:r>
        <w:t xml:space="preserve"> </w:t>
      </w:r>
      <w:r>
        <w:rPr>
          <w:i/>
          <w:iCs/>
        </w:rPr>
        <w:t xml:space="preserve">Journal of Medical Internet Research</w:t>
      </w:r>
      <w:r>
        <w:t xml:space="preserve"> </w:t>
      </w:r>
      <w:r>
        <w:t xml:space="preserve">6 (3): e34.</w:t>
      </w:r>
      <w:r>
        <w:t xml:space="preserve"> </w:t>
      </w:r>
      <w:hyperlink r:id="rId41">
        <w:r>
          <w:rPr>
            <w:rStyle w:val="Hyperlink"/>
          </w:rPr>
          <w:t xml:space="preserve">https://doi.org/10.2196/jmir.6.3.e34</w:t>
        </w:r>
      </w:hyperlink>
      <w:r>
        <w:t xml:space="preserve">.</w:t>
      </w:r>
    </w:p>
    <w:bookmarkEnd w:id="42"/>
    <w:bookmarkStart w:id="44" w:name="ref-base"/>
    <w:p>
      <w:pPr>
        <w:pStyle w:val="Bibliography"/>
      </w:pPr>
      <w:r>
        <w:t xml:space="preserve">R Core Team. 2025.</w:t>
      </w:r>
      <w:r>
        <w:t xml:space="preserve"> </w:t>
      </w:r>
      <w:r>
        <w:t xml:space="preserve">“R: A Language and Environment for Statistical Computing.”</w:t>
      </w:r>
      <w:r>
        <w:t xml:space="preserve"> </w:t>
      </w:r>
      <w:hyperlink r:id="rId43">
        <w:r>
          <w:rPr>
            <w:rStyle w:val="Hyperlink"/>
          </w:rPr>
          <w:t xml:space="preserve">https://www.R-project.org/</w:t>
        </w:r>
      </w:hyperlink>
      <w:r>
        <w:t xml:space="preserve">.</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doi.org/10.1001/jamanetworkopen.2023.42215" TargetMode="External" /><Relationship Type="http://schemas.openxmlformats.org/officeDocument/2006/relationships/hyperlink" Id="rId41" Target="https://doi.org/10.2196/jmir.6.3.e34" TargetMode="External" /><Relationship Type="http://schemas.openxmlformats.org/officeDocument/2006/relationships/hyperlink" Id="rId43" Target="https://www.R-project.org/" TargetMode="External" /><Relationship Type="http://schemas.openxmlformats.org/officeDocument/2006/relationships/hyperlink" Id="rId39" Target="https://www.openepi.com"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01/jamanetworkopen.2023.42215" TargetMode="External" /><Relationship Type="http://schemas.openxmlformats.org/officeDocument/2006/relationships/hyperlink" Id="rId41" Target="https://doi.org/10.2196/jmir.6.3.e34" TargetMode="External" /><Relationship Type="http://schemas.openxmlformats.org/officeDocument/2006/relationships/hyperlink" Id="rId43" Target="https://www.R-project.org/" TargetMode="External" /><Relationship Type="http://schemas.openxmlformats.org/officeDocument/2006/relationships/hyperlink" Id="rId39" Target="https://www.openep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Obstetricians’ Knowledge of Non-Recommended pregnancy and childbirth Practices: A cross-sectional e-survey protocol</dc:title>
  <dc:creator/>
  <cp:keywords/>
  <dcterms:created xsi:type="dcterms:W3CDTF">2026-03-11T13:23:04Z</dcterms:created>
  <dcterms:modified xsi:type="dcterms:W3CDTF">2026-03-11T13:23:04Z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lear-hidden-classes">
    <vt:lpwstr>none</vt:lpwstr>
  </property>
  <property fmtid="{D5CDD505-2E9C-101B-9397-08002B2CF9AE}" pid="5" name="editor">
    <vt:lpwstr>visual</vt:lpwstr>
  </property>
  <property fmtid="{D5CDD505-2E9C-101B-9397-08002B2CF9AE}" pid="6" name="google-scholar">
    <vt:lpwstr>True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ghtbox">
    <vt:lpwstr>auto</vt:lpwstr>
  </property>
  <property fmtid="{D5CDD505-2E9C-101B-9397-08002B2CF9AE}" pid="12" name="manuscript">
    <vt:lpwstr/>
  </property>
  <property fmtid="{D5CDD505-2E9C-101B-9397-08002B2CF9AE}" pid="13" name="notebook-preview-options">
    <vt:lpwstr/>
  </property>
  <property fmtid="{D5CDD505-2E9C-101B-9397-08002B2CF9AE}" pid="14" name="quarto-internal">
    <vt:lpwstr/>
  </property>
  <property fmtid="{D5CDD505-2E9C-101B-9397-08002B2CF9AE}" pid="15" name="remove-hidden">
    <vt:lpwstr>all</vt:lpwstr>
  </property>
  <property fmtid="{D5CDD505-2E9C-101B-9397-08002B2CF9AE}" pid="16" name="template-partials">
    <vt:lpwstr/>
  </property>
  <property fmtid="{D5CDD505-2E9C-101B-9397-08002B2CF9AE}" pid="17" name="theme">
    <vt:lpwstr>cosmo</vt:lpwstr>
  </property>
  <property fmtid="{D5CDD505-2E9C-101B-9397-08002B2CF9AE}" pid="18" name="title-block-style">
    <vt:lpwstr>manuscript</vt:lpwstr>
  </property>
  <property fmtid="{D5CDD505-2E9C-101B-9397-08002B2CF9AE}" pid="19" name="toc-title">
    <vt:lpwstr>Table of contents</vt:lpwstr>
  </property>
  <property fmtid="{D5CDD505-2E9C-101B-9397-08002B2CF9AE}" pid="20" name="unroll-markdown-cells">
    <vt:lpwstr>True</vt:lpwstr>
  </property>
</Properties>
</file>