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Oral GnRH antogonists for endometriosis-associated pain</w:t>
      </w:r>
    </w:p>
    <w:p>
      <w:pPr>
        <w:pStyle w:val="Subtitle"/>
      </w:pPr>
      <w:r>
        <w:t xml:space="preserve">A systematic review and meta-analysis</w:t>
      </w:r>
    </w:p>
    <w:bookmarkStart w:id="20" w:name="authors"/>
    <w:p>
      <w:pPr>
        <w:pStyle w:val="Heading1"/>
      </w:pPr>
      <w:r>
        <w:t xml:space="preserve">Authors</w:t>
      </w:r>
    </w:p>
    <w:p>
      <w:pPr>
        <w:pStyle w:val="FirstParagraph"/>
      </w:pPr>
      <w:r>
        <w:t xml:space="preserve">Mourad Elfaham1, Aya Attia1, Sara Ibrahim Abdelkader2*, Rahma Alaa Abdelhafez2, Mohammed Ghanem2, Ahmed Azab2, Belgin Ahmed Nagah2, Nour Atif2, Maha Moemen2, Ashraf Nabhan1,3</w:t>
      </w:r>
    </w:p>
    <w:p>
      <w:pPr>
        <w:pStyle w:val="BodyText"/>
      </w:pPr>
      <w:r>
        <w:rPr>
          <w:b/>
          <w:bCs/>
        </w:rPr>
        <w:t xml:space="preserve">Affiliation</w:t>
      </w:r>
    </w:p>
    <w:p>
      <w:pPr>
        <w:pStyle w:val="BodyText"/>
      </w:pPr>
      <w:r>
        <w:t xml:space="preserve">1 Faculty of Medicine, Ain Shams University, Cairo, Egypt.</w:t>
      </w:r>
    </w:p>
    <w:p>
      <w:pPr>
        <w:pStyle w:val="BodyText"/>
      </w:pPr>
      <w:r>
        <w:t xml:space="preserve">2 Faculty of Medicine, Galala University, Attaka, Suez, Egypt.</w:t>
      </w:r>
    </w:p>
    <w:p>
      <w:pPr>
        <w:pStyle w:val="BodyText"/>
      </w:pPr>
      <w:r>
        <w:t xml:space="preserve">3 Faculty of Medicine, MTI University, Cairo, Egypt.</w:t>
      </w:r>
    </w:p>
    <w:p>
      <w:pPr>
        <w:pStyle w:val="BodyText"/>
      </w:pPr>
      <w:r>
        <w:t xml:space="preserve">*Corresponding author: Sara Ibrahim Abdelkader. Faculty of Medicine, Galala University, Attaka, Suez, Egypt. Email: sara.elzeftawy@gu.edu.eg, ORCID: 0009-0002-5877-4722</w:t>
      </w:r>
    </w:p>
    <w:p>
      <w:pPr>
        <w:pStyle w:val="BodyText"/>
      </w:pPr>
      <w:r>
        <w:t xml:space="preserve">Word count: 2500</w:t>
      </w:r>
    </w:p>
    <w:bookmarkEnd w:id="20"/>
    <w:bookmarkStart w:id="21" w:name="abstract"/>
    <w:p>
      <w:pPr>
        <w:pStyle w:val="Heading1"/>
      </w:pPr>
      <w:r>
        <w:t xml:space="preserve">Abstract</w:t>
      </w:r>
    </w:p>
    <w:p>
      <w:pPr>
        <w:pStyle w:val="FirstParagraph"/>
      </w:pPr>
      <w:r>
        <w:t xml:space="preserve">Background: Oral GnRH antagonists may improve endometriosis-related pain. The benefits and harms of the available Oral GnRH antagonists require a rigorous synthesis of evidence.</w:t>
      </w:r>
    </w:p>
    <w:p>
      <w:pPr>
        <w:pStyle w:val="BodyText"/>
      </w:pPr>
      <w:r>
        <w:t xml:space="preserve">Objectives: To assess the effects of oral GnRH antagonists in women with sendometriosis-related pain.</w:t>
      </w:r>
    </w:p>
    <w:p>
      <w:pPr>
        <w:pStyle w:val="BodyText"/>
      </w:pPr>
      <w:r>
        <w:t xml:space="preserve">Search strategy: We searched CENTRAL, MEDLINE, Embase, and CINHAL on January 6, 2025, using relevant search terms. Clinical trials registries were searched for ongoing trials. The search had no language or date restrictions.</w:t>
      </w:r>
    </w:p>
    <w:p>
      <w:pPr>
        <w:pStyle w:val="BodyText"/>
      </w:pPr>
      <w:r>
        <w:t xml:space="preserve">Selection criteria: We included randomized controlled trials (RCTs) comparing oral GnRH antagonists with placebo/no treatment/any pharmacological intervention in women with sendometriosis-related pain.</w:t>
      </w:r>
    </w:p>
    <w:p>
      <w:pPr>
        <w:pStyle w:val="BodyText"/>
      </w:pPr>
      <w:r>
        <w:t xml:space="preserve">Data collection and analysis: Two authors independently screened trials, extracted data, and assessed the risk of bias in included studies using Cochrane Risk of Bias tool 2. We used risk ratio (RR) for dichotomous outcomes and mean difference (MD) for continuous outcomes, plus their 95% confidence intervals (CIs). Pairwise meta-analyses were conducted, where two or more studies met methodological criteria for inclusion. GRADE approach was used to assess certainty of evidence for the pre-specified outcomes.</w:t>
      </w:r>
    </w:p>
    <w:p>
      <w:pPr>
        <w:pStyle w:val="BodyText"/>
      </w:pPr>
      <w:r>
        <w:t xml:space="preserve">Main results: We identified ## RCTs (#### participants). Five studies (882 participants) compared oral GnRH antagonists with placebo. OGA significantly achieved amenorrhea (RR 24.54; 95% CI, 10.82-55.64), reduced blood loss, and improved quality of life. The evidence for adverse events is uncertain.</w:t>
      </w:r>
    </w:p>
    <w:p>
      <w:pPr>
        <w:pStyle w:val="BodyText"/>
      </w:pPr>
      <w:r>
        <w:t xml:space="preserve">Conclusion: Compared with placebo, oral GnRH antagonists significantly induces amenorrhea, reduces endometriosis associated pain, and improves quality-of-life in women with endometriosis associated pain.</w:t>
      </w:r>
    </w:p>
    <w:p>
      <w:pPr>
        <w:pStyle w:val="BodyText"/>
      </w:pPr>
      <w:r>
        <w:t xml:space="preserve">Systematic review registration: Center for Open Science, URL.</w:t>
      </w:r>
    </w:p>
    <w:p>
      <w:pPr>
        <w:pStyle w:val="BodyText"/>
      </w:pPr>
      <w:r>
        <w:t xml:space="preserve">keywords: Gonadotropin-Releasing Hormone, Elagolix, Linzagolix, Relugolix, Endometriosis, Dysmenorrhea, Quality of Life</w:t>
      </w:r>
    </w:p>
    <w:bookmarkEnd w:id="21"/>
    <w:bookmarkStart w:id="22" w:name="background"/>
    <w:p>
      <w:pPr>
        <w:pStyle w:val="Heading1"/>
      </w:pPr>
      <w:r>
        <w:t xml:space="preserve">Background</w:t>
      </w:r>
    </w:p>
    <w:p>
      <w:pPr>
        <w:pStyle w:val="FirstParagraph"/>
      </w:pPr>
      <w:r>
        <w:t xml:space="preserve">Endometriosis, an enigmatic chronic health condition, affects 6-10% of women during their reproductive years. Women usually complains of dysmenorrhea, chronic pelvic pain, deep dyspareunia and infertility.</w:t>
      </w:r>
    </w:p>
    <w:p>
      <w:pPr>
        <w:pStyle w:val="BodyText"/>
      </w:pPr>
      <w:r>
        <w:t xml:space="preserve">The different types of pain associated with endometriosis can adversely affect a woman’s quality of life and her work productivity. Health service utilization increases to cover diagnostic workup and the provision of different lines of interventions.</w:t>
      </w:r>
    </w:p>
    <w:p>
      <w:pPr>
        <w:pStyle w:val="BodyText"/>
      </w:pPr>
      <w:r>
        <w:t xml:space="preserve">Initial interventions to relief endometriosis-associated pain include nonsteroidal anti-inflammatory drugs, depot medroxy progesterone acetate, and Gonadotropin-releasing hormone (GnRH) agonists. Surgery for women with symptomatic endometriosis offers an important line of treatment at the time of a diagnostic laparoscopy or after an insufficient response to medical therapy.</w:t>
      </w:r>
    </w:p>
    <w:p>
      <w:pPr>
        <w:pStyle w:val="BodyText"/>
      </w:pPr>
      <w:r>
        <w:t xml:space="preserve">New short-acting nonpeptide oral GnRH antagonists recently emerged as an alternative in the management of endometriois-associated pain. Oral GnRH antagonists (Elagolix, Relugolix, and Linzagolix) act by suppressing the anterior pituitary gonadotropin secretion. GnRH antagonists, as compared to GnRH, do not cause an initial stimulation of the anterior pituitary gland. Thus, this class does not result in an initial increase in symptoms. The oral route would provide an additional advantage over GnRH agonists. Oral GnRH antagonist produce a dose-dependent suppression of ovarian estrogen production. The potential for Oral GnRH antagonists to produce partial suppression at lower doses may decrease endometriosis-related pain while avoiding the undesirable hypoestrogenic effects like hot flashes, vaginal dryness, and the decrease in bone mineral density.</w:t>
      </w:r>
    </w:p>
    <w:p>
      <w:pPr>
        <w:pStyle w:val="BodyText"/>
      </w:pPr>
      <w:r>
        <w:t xml:space="preserve">The objective of this study was to assess the benefits and harms of Oral GnRH antagonists in women with endometriosis-associated pain.</w:t>
      </w:r>
    </w:p>
    <w:bookmarkEnd w:id="22"/>
    <w:bookmarkStart w:id="23" w:name="methods"/>
    <w:p>
      <w:pPr>
        <w:pStyle w:val="Heading1"/>
      </w:pPr>
      <w:r>
        <w:t xml:space="preserve">Methods</w:t>
      </w:r>
    </w:p>
    <w:p>
      <w:pPr>
        <w:pStyle w:val="FirstParagraph"/>
      </w:pPr>
      <w:r>
        <w:t xml:space="preserve">Protocol and registration</w:t>
      </w:r>
    </w:p>
    <w:p>
      <w:pPr>
        <w:pStyle w:val="BodyText"/>
      </w:pPr>
      <w:r>
        <w:t xml:space="preserve">This systematic review was conducted following the methodological standards of Cochrane Handbook [9]. We prospectively registered the protocol in Open Science Platform (URL). The full text of the protocol is available in an open access registry. We reported the review using the Preferred Reporting Items for Systematic reviews and Meta-Analyses (PRISMA) standards [10]. The full checklist is available as Supplementary File 2.</w:t>
      </w:r>
    </w:p>
    <w:p>
      <w:pPr>
        <w:pStyle w:val="BodyText"/>
      </w:pPr>
      <w:r>
        <w:t xml:space="preserve">Eligibility criteria</w:t>
      </w:r>
    </w:p>
    <w:p>
      <w:pPr>
        <w:pStyle w:val="BodyText"/>
      </w:pPr>
      <w:r>
        <w:t xml:space="preserve">We included published randomized controlled trials that compared any oral GnRH antagonist with no intervention, placebo or any active pharmacological intervention in women with endometriosis associated pain during the reproductive age, We assesse the followig outcomes: non-menstrual pelvic pain, dysmenorrhea, dyspareunia, QOL, additional use of analgesics, and adverse events (Any adverse event leading to discontinuation, Bone mineral density, Hot flashes, Vaginal dryness). The length of follow-up was up to 12 and 24 weeks.</w:t>
      </w:r>
    </w:p>
    <w:p>
      <w:pPr>
        <w:pStyle w:val="BodyText"/>
      </w:pPr>
      <w:r>
        <w:t xml:space="preserve">Information sources</w:t>
      </w:r>
    </w:p>
    <w:p>
      <w:pPr>
        <w:pStyle w:val="BodyText"/>
      </w:pPr>
      <w:r>
        <w:t xml:space="preserve">A comprehensive literature search was initially conducted on September 20, 2023, by two authors (AFN, HBA) who are information experts. We did not impose language or other restrictions on any of the searches. We searched bibliographic databases (Cochrane Central Register of Controlled Trials (CENTRAL), MEDLINE/PubMed) and citation indexes (Web of Science and Scopus). We included the terms (HELLP Syndrome) AND (corticosteroids or glucocorticoids or Dexamethasone or Betamethasone or Prednisolone). The search strategy was updated on February 3, 2024, and new studies were not identified. The detailed exact strategy adapted for each database is provided in Supplementary File 3 and is available as an open access registry document. We peer-reviewed the search strategy using PRESS checklist [11], and further tested it with a set of known relevant,</w:t>
      </w:r>
      <w:r>
        <w:t xml:space="preserve"> </w:t>
      </w:r>
      <w:r>
        <w:t xml:space="preserve">‘gold standard’</w:t>
      </w:r>
      <w:r>
        <w:t xml:space="preserve"> </w:t>
      </w:r>
      <w:r>
        <w:t xml:space="preserve">reports. We also searched clinical trial registries (ClinicalTrials.gov and the World Health Organization International Clinical Trials Registry Platform) to identify ongoing trials. We finally searched reference lists and explored the cited-by logs of identified studies and previously published reviews.</w:t>
      </w:r>
    </w:p>
    <w:p>
      <w:pPr>
        <w:pStyle w:val="BodyText"/>
      </w:pPr>
      <w:r>
        <w:t xml:space="preserve">Study selection</w:t>
      </w:r>
    </w:p>
    <w:p>
      <w:pPr>
        <w:pStyle w:val="BodyText"/>
      </w:pPr>
      <w:r>
        <w:t xml:space="preserve">All reports identified in the databases were imported to Bibtex library using Jabref version 5. After removing duplicates, two authors independently screened all titles and abstracts for eligibility. We retrieved and assessed the full text of all reports that potentially met our eligibility criteria during screening. Two authors (AFK, HBA, MAE, RHA) independently assessed each full-text article. Disagreements regarding trial eligibility were resolved by consensus and finally resolved by a third author (AFN).</w:t>
      </w:r>
    </w:p>
    <w:p>
      <w:pPr>
        <w:pStyle w:val="BodyText"/>
      </w:pPr>
      <w:r>
        <w:t xml:space="preserve">Data collection process</w:t>
      </w:r>
    </w:p>
    <w:p>
      <w:pPr>
        <w:pStyle w:val="BodyText"/>
      </w:pPr>
      <w:r>
        <w:t xml:space="preserve">For eligible studies, we extracted the data in duplicates using an offline electronic form. We resolved discrepancies through discussion. Extracted data were transcribed to a spreadsheet and checked for accuracy. We contacted authors of the original reports, if needed, to provide details regarding unclear or missing data.</w:t>
      </w:r>
    </w:p>
    <w:p>
      <w:pPr>
        <w:pStyle w:val="BodyText"/>
      </w:pPr>
      <w:r>
        <w:t xml:space="preserve">Data items</w:t>
      </w:r>
    </w:p>
    <w:p>
      <w:pPr>
        <w:pStyle w:val="BodyText"/>
      </w:pPr>
      <w:r>
        <w:t xml:space="preserve">Extracted data included study design, sample size, description of included participants, description of the intervention, outcomes, trial registration, and funding sources, and country.</w:t>
      </w:r>
    </w:p>
    <w:p>
      <w:pPr>
        <w:pStyle w:val="BodyText"/>
      </w:pPr>
      <w:r>
        <w:t xml:space="preserve">Study risk of bias assessment</w:t>
      </w:r>
    </w:p>
    <w:p>
      <w:pPr>
        <w:pStyle w:val="BodyText"/>
      </w:pPr>
      <w:r>
        <w:t xml:space="preserve">We assessed the following risk of bias domains as outlined in Cochrane Handbook for Systematic Reviews of Interventions: (1) risk of bias arising from the randomization process; (2) risk of bias due to deviations from the intended interventions (effect of assignment to intervention); (3) risk of bias due to missing outcome data; (4) risk of bias in measurement of the outcome; and (5) risk of bias in selection of the reported result. Each domain was judged as being at</w:t>
      </w:r>
      <w:r>
        <w:t xml:space="preserve"> </w:t>
      </w:r>
      <w:r>
        <w:t xml:space="preserve">“low risk of bias”</w:t>
      </w:r>
      <w:r>
        <w:t xml:space="preserve">,</w:t>
      </w:r>
      <w:r>
        <w:t xml:space="preserve"> </w:t>
      </w:r>
      <w:r>
        <w:t xml:space="preserve">“some concerns”</w:t>
      </w:r>
      <w:r>
        <w:t xml:space="preserve">, or</w:t>
      </w:r>
      <w:r>
        <w:t xml:space="preserve"> </w:t>
      </w:r>
      <w:r>
        <w:t xml:space="preserve">“high risk of bias”</w:t>
      </w:r>
      <w:r>
        <w:t xml:space="preserve">. Trials with</w:t>
      </w:r>
      <w:r>
        <w:t xml:space="preserve"> </w:t>
      </w:r>
      <w:r>
        <w:t xml:space="preserve">“low risk of bias”</w:t>
      </w:r>
      <w:r>
        <w:t xml:space="preserve"> </w:t>
      </w:r>
      <w:r>
        <w:t xml:space="preserve">in all domains were classified as being at overall</w:t>
      </w:r>
      <w:r>
        <w:t xml:space="preserve"> </w:t>
      </w:r>
      <w:r>
        <w:t xml:space="preserve">“low risk of bias”</w:t>
      </w:r>
      <w:r>
        <w:t xml:space="preserve">. RCTs with one domain judged to be at</w:t>
      </w:r>
      <w:r>
        <w:t xml:space="preserve"> </w:t>
      </w:r>
      <w:r>
        <w:t xml:space="preserve">“some concerns”</w:t>
      </w:r>
      <w:r>
        <w:t xml:space="preserve">, but no domain judged to be at</w:t>
      </w:r>
      <w:r>
        <w:t xml:space="preserve"> </w:t>
      </w:r>
      <w:r>
        <w:t xml:space="preserve">“high risk of bias”</w:t>
      </w:r>
      <w:r>
        <w:t xml:space="preserve">, were classified as being at overall</w:t>
      </w:r>
      <w:r>
        <w:t xml:space="preserve"> </w:t>
      </w:r>
      <w:r>
        <w:t xml:space="preserve">“some concerns”</w:t>
      </w:r>
      <w:r>
        <w:t xml:space="preserve"> </w:t>
      </w:r>
      <w:r>
        <w:t xml:space="preserve">of risk of bias. RCTs were classified as being at overall</w:t>
      </w:r>
      <w:r>
        <w:t xml:space="preserve"> </w:t>
      </w:r>
      <w:r>
        <w:t xml:space="preserve">“high risk of bias”</w:t>
      </w:r>
      <w:r>
        <w:t xml:space="preserve"> </w:t>
      </w:r>
      <w:r>
        <w:t xml:space="preserve">if at least one domain was judged as being at</w:t>
      </w:r>
      <w:r>
        <w:t xml:space="preserve"> </w:t>
      </w:r>
      <w:r>
        <w:t xml:space="preserve">“high risk of bias”</w:t>
      </w:r>
      <w:r>
        <w:t xml:space="preserve">. However, if a trial was judged to be at</w:t>
      </w:r>
      <w:r>
        <w:t xml:space="preserve"> </w:t>
      </w:r>
      <w:r>
        <w:t xml:space="preserve">“some concerns”</w:t>
      </w:r>
      <w:r>
        <w:t xml:space="preserve"> </w:t>
      </w:r>
      <w:r>
        <w:t xml:space="preserve">due to risk of bias for multiple domains, it was judged as being at overall</w:t>
      </w:r>
      <w:r>
        <w:t xml:space="preserve"> </w:t>
      </w:r>
      <w:r>
        <w:t xml:space="preserve">“high risk of bias”</w:t>
      </w:r>
      <w:r>
        <w:t xml:space="preserve"> </w:t>
      </w:r>
      <w:r>
        <w:t xml:space="preserve">if the assessors judged that the multiple concerns amounted to a serious risk of bias. In case of discrepancies among their judgments and inability to reach consensus, we consulted the senior author (AFN) to reach a final decision.</w:t>
      </w:r>
    </w:p>
    <w:p>
      <w:pPr>
        <w:pStyle w:val="BodyText"/>
      </w:pPr>
      <w:r>
        <w:t xml:space="preserve">Effect measures</w:t>
      </w:r>
    </w:p>
    <w:p>
      <w:pPr>
        <w:pStyle w:val="BodyText"/>
      </w:pPr>
      <w:r>
        <w:t xml:space="preserve">For dichotomous data, we presented results as risk ratio (RR) with 95% confidence intervals (CI). For continuous data, we presented results as mean diference (MD) with 95% CI. The unit of analysis was the individual participant. Data related to participants reported as not compliant was analyzed on an intention-to-treat basis.</w:t>
      </w:r>
    </w:p>
    <w:p>
      <w:pPr>
        <w:pStyle w:val="BodyText"/>
      </w:pPr>
      <w:r>
        <w:t xml:space="preserve">Synthesis methods</w:t>
      </w:r>
    </w:p>
    <w:p>
      <w:pPr>
        <w:pStyle w:val="BodyText"/>
      </w:pPr>
      <w:r>
        <w:t xml:space="preserve">Common effect meta-analysis was performed to combine data of trials that are judged to be sufficiently similar in terms of intervention, populations, and methods. We planned to investigate substantial statistical heterogeneity, defined as I² statistic ≥ 50% or P &lt; 0.1.</w:t>
      </w:r>
    </w:p>
    <w:p>
      <w:pPr>
        <w:pStyle w:val="BodyText"/>
      </w:pPr>
      <w:r>
        <w:t xml:space="preserve">We performed the planned subgroup analysis by type of antagonist (Elagolix, Relugolix, Linzagolix). We assessed subgroup differences by interaction tests. Results of the subgroup analyses were reported by mentioning the Chi² statistic and P value, and the interaction test I² value.</w:t>
      </w:r>
    </w:p>
    <w:p>
      <w:pPr>
        <w:pStyle w:val="BodyText"/>
      </w:pPr>
      <w:r>
        <w:t xml:space="preserve">Sensitivity analysis was performed to explore robustness of pooled estimate using outcome data from trials with a low risk of bias.</w:t>
      </w:r>
    </w:p>
    <w:p>
      <w:pPr>
        <w:pStyle w:val="BodyText"/>
      </w:pPr>
      <w:r>
        <w:t xml:space="preserve">Synthesis was performed using RStudio 2024.12.0 Build 467 (MacOS, Apple Silicon version), R 4.4 (2024-12-16) [12] and R package meta version 8 [13].</w:t>
      </w:r>
    </w:p>
    <w:p>
      <w:pPr>
        <w:pStyle w:val="BodyText"/>
      </w:pPr>
      <w:r>
        <w:t xml:space="preserve">Reporting bias assessment</w:t>
      </w:r>
    </w:p>
    <w:p>
      <w:pPr>
        <w:pStyle w:val="BodyText"/>
      </w:pPr>
      <w:r>
        <w:t xml:space="preserve">We explored whether the study was included in a trial registry and whether a protocol was available. We planned to examine funnel plots to assess the potential for publication bias if we found 10 or more studies reporting on a particular outcome.</w:t>
      </w:r>
    </w:p>
    <w:p>
      <w:pPr>
        <w:pStyle w:val="BodyText"/>
      </w:pPr>
      <w:r>
        <w:t xml:space="preserve">Certainty assessment</w:t>
      </w:r>
    </w:p>
    <w:p>
      <w:pPr>
        <w:pStyle w:val="BodyText"/>
      </w:pPr>
      <w:r>
        <w:t xml:space="preserve">We used the Grading of Recommendations, Assessment, Development and Evaluation (GRADE) approach to create the Summary of Findings Table [14] Briefly, GRADE uses study limitations, consistency of effect, imprecision, indirectness, and publication bias to assess the certainty of evidence for each outcome. A summary of the intervention effect and a measure of certainty was produced using the GRADE Profiler Guideline Development Tool (GRADEpro GDT) software [15] for the prespecified important outcomes: maternal death, pulmonary edema, renal failure, dialysis, liver morbidity, need for platelet transfusion, and perinatal death. One author (AFN) conducted GRADE assessments and the decisions on downgrading. This was discussed for final approval by all authors.</w:t>
      </w:r>
    </w:p>
    <w:bookmarkEnd w:id="23"/>
    <w:bookmarkStart w:id="24" w:name="results"/>
    <w:p>
      <w:pPr>
        <w:pStyle w:val="Heading1"/>
      </w:pPr>
      <w:r>
        <w:t xml:space="preserve">Results</w:t>
      </w:r>
    </w:p>
    <w:bookmarkEnd w:id="24"/>
    <w:bookmarkStart w:id="25" w:name="discussion"/>
    <w:p>
      <w:pPr>
        <w:pStyle w:val="Heading1"/>
      </w:pPr>
      <w:r>
        <w:t xml:space="preserve">Discussion</w:t>
      </w:r>
    </w:p>
    <w:bookmarkEnd w:id="25"/>
    <w:bookmarkStart w:id="26" w:name="conclusions"/>
    <w:p>
      <w:pPr>
        <w:pStyle w:val="Heading1"/>
      </w:pPr>
      <w:r>
        <w:t xml:space="preserve">Conclusions</w:t>
      </w:r>
    </w:p>
    <w:bookmarkEnd w:id="26"/>
    <w:bookmarkStart w:id="27" w:name="list-of-abbreviations"/>
    <w:p>
      <w:pPr>
        <w:pStyle w:val="Heading1"/>
      </w:pPr>
      <w:r>
        <w:t xml:space="preserve">List of abbreviations</w:t>
      </w:r>
    </w:p>
    <w:p>
      <w:pPr>
        <w:pStyle w:val="FirstParagraph"/>
      </w:pPr>
      <w:r>
        <w:t xml:space="preserve">If abbreviations are used in the text they should be defined in the text at first use, and a list of abbreviations should be provided.</w:t>
      </w:r>
    </w:p>
    <w:bookmarkEnd w:id="27"/>
    <w:bookmarkStart w:id="35" w:name="declarations"/>
    <w:p>
      <w:pPr>
        <w:pStyle w:val="Heading1"/>
      </w:pPr>
      <w:r>
        <w:t xml:space="preserve">Declarations</w:t>
      </w:r>
    </w:p>
    <w:bookmarkStart w:id="28" w:name="Xd182db0490b2de20bd2b4e4cc8698599182035f"/>
    <w:p>
      <w:pPr>
        <w:pStyle w:val="Heading2"/>
      </w:pPr>
      <w:r>
        <w:t xml:space="preserve">Ethics approval and consent to participate</w:t>
      </w:r>
    </w:p>
    <w:p>
      <w:pPr>
        <w:pStyle w:val="FirstParagraph"/>
      </w:pPr>
      <w:r>
        <w:t xml:space="preserve">Not applicable.</w:t>
      </w:r>
    </w:p>
    <w:bookmarkEnd w:id="28"/>
    <w:bookmarkStart w:id="29" w:name="consent-for-publication"/>
    <w:p>
      <w:pPr>
        <w:pStyle w:val="Heading2"/>
      </w:pPr>
      <w:r>
        <w:t xml:space="preserve">Consent for publication</w:t>
      </w:r>
    </w:p>
    <w:p>
      <w:pPr>
        <w:pStyle w:val="FirstParagraph"/>
      </w:pPr>
      <w:r>
        <w:t xml:space="preserve">Not applicable.</w:t>
      </w:r>
    </w:p>
    <w:bookmarkEnd w:id="29"/>
    <w:bookmarkStart w:id="30" w:name="availability-of-data-and-materials"/>
    <w:p>
      <w:pPr>
        <w:pStyle w:val="Heading2"/>
      </w:pPr>
      <w:r>
        <w:t xml:space="preserve">Availability of data and materials</w:t>
      </w:r>
    </w:p>
    <w:p>
      <w:pPr>
        <w:pStyle w:val="FirstParagraph"/>
      </w:pPr>
      <w:r>
        <w:t xml:space="preserve">All data relevant to this study are publicly available. Data, analysis script and materials related to this study are publicly available on the Open Science Framework at [URL]. To facilitate reproducibility, this manuscript was written by interleaving regular prose and analysis code using R Markdown.</w:t>
      </w:r>
    </w:p>
    <w:bookmarkEnd w:id="30"/>
    <w:bookmarkStart w:id="31" w:name="competing-interests"/>
    <w:p>
      <w:pPr>
        <w:pStyle w:val="Heading2"/>
      </w:pPr>
      <w:r>
        <w:t xml:space="preserve">Competing interests</w:t>
      </w:r>
    </w:p>
    <w:p>
      <w:pPr>
        <w:pStyle w:val="FirstParagraph"/>
      </w:pPr>
      <w:r>
        <w:t xml:space="preserve">The authors declare no competing interests.</w: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2"/>
    <w:bookmarkStart w:id="33" w:name="authors-contributions"/>
    <w:p>
      <w:pPr>
        <w:pStyle w:val="Heading2"/>
      </w:pPr>
      <w:r>
        <w:t xml:space="preserve">Authors’ contributions</w:t>
      </w:r>
    </w:p>
    <w:p>
      <w:pPr>
        <w:pStyle w:val="FirstParagraph"/>
      </w:pPr>
      <w:r>
        <w:t xml:space="preserve">AFN conceived the idea for this review and designed the review methods. AFK, HBA coordinated the research activities. MAE, RRA, RHA, MNS, KMH, RGE, RHH, MSE, MMA, YME, MYA, MHS contributed to search, screening, interpretation of results. All authors collaborated in searching, screening, selecting studies, data extraction and synthesis. AFN, AFK, HBA wrote the first draft of the manuscript. All authors revised the manuscript critically for important intellectual content. All authors approved the final version of the manuscript. AFN is the guarantor for this manuscript.</w:t>
      </w:r>
    </w:p>
    <w:bookmarkEnd w:id="33"/>
    <w:bookmarkStart w:id="34" w:name="acknowledgements"/>
    <w:p>
      <w:pPr>
        <w:pStyle w:val="Heading2"/>
      </w:pPr>
      <w:r>
        <w:t xml:space="preserve">Acknowledgements</w:t>
      </w:r>
    </w:p>
    <w:bookmarkEnd w:id="34"/>
    <w:bookmarkEnd w:id="35"/>
    <w:bookmarkStart w:id="36" w:name="references"/>
    <w:p>
      <w:pPr>
        <w:pStyle w:val="Heading1"/>
      </w:pPr>
      <w:r>
        <w:t xml:space="preserve">References</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GnRH antogonists for endometriosis-associated pain</dc:title>
  <dc:creator/>
  <cp:keywords/>
  <dcterms:created xsi:type="dcterms:W3CDTF">2026-03-04T21:40:30Z</dcterms:created>
  <dcterms:modified xsi:type="dcterms:W3CDTF">2026-03-04T21:40:30Z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lear-hidden-classes">
    <vt:lpwstr>none</vt:lpwstr>
  </property>
  <property fmtid="{D5CDD505-2E9C-101B-9397-08002B2CF9AE}" pid="5" name="csl">
    <vt:lpwstr>biomed-central.csl</vt:lpwstr>
  </property>
  <property fmtid="{D5CDD505-2E9C-101B-9397-08002B2CF9AE}" pid="6" name="editor">
    <vt:lpwstr>visual</vt:lpwstr>
  </property>
  <property fmtid="{D5CDD505-2E9C-101B-9397-08002B2CF9AE}" pid="7" name="google-scholar">
    <vt:lpwstr>True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ghtbox">
    <vt:lpwstr>auto</vt:lpwstr>
  </property>
  <property fmtid="{D5CDD505-2E9C-101B-9397-08002B2CF9AE}" pid="13" name="manuscript">
    <vt:lpwstr/>
  </property>
  <property fmtid="{D5CDD505-2E9C-101B-9397-08002B2CF9AE}" pid="14" name="notebook-preview-options">
    <vt:lpwstr/>
  </property>
  <property fmtid="{D5CDD505-2E9C-101B-9397-08002B2CF9AE}" pid="15" name="quarto-internal">
    <vt:lpwstr/>
  </property>
  <property fmtid="{D5CDD505-2E9C-101B-9397-08002B2CF9AE}" pid="16" name="remove-hidden">
    <vt:lpwstr>all</vt:lpwstr>
  </property>
  <property fmtid="{D5CDD505-2E9C-101B-9397-08002B2CF9AE}" pid="17" name="subtitle">
    <vt:lpwstr>A systematic review and meta-analysis</vt:lpwstr>
  </property>
  <property fmtid="{D5CDD505-2E9C-101B-9397-08002B2CF9AE}" pid="18" name="template-partials">
    <vt:lpwstr/>
  </property>
  <property fmtid="{D5CDD505-2E9C-101B-9397-08002B2CF9AE}" pid="19" name="theme">
    <vt:lpwstr>cosmo</vt:lpwstr>
  </property>
  <property fmtid="{D5CDD505-2E9C-101B-9397-08002B2CF9AE}" pid="20" name="title-block-style">
    <vt:lpwstr>manuscript</vt:lpwstr>
  </property>
  <property fmtid="{D5CDD505-2E9C-101B-9397-08002B2CF9AE}" pid="21" name="toc-title">
    <vt:lpwstr>Table of contents</vt:lpwstr>
  </property>
  <property fmtid="{D5CDD505-2E9C-101B-9397-08002B2CF9AE}" pid="22" name="unroll-markdown-cells">
    <vt:lpwstr>True</vt:lpwstr>
  </property>
</Properties>
</file>