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3CE3" w:rsidRDefault="00623CE3" w:rsidP="00623CE3">
      <w:pPr>
        <w:pStyle w:val="Heading1"/>
        <w:rPr>
          <w:rFonts w:eastAsia="Times New Roman"/>
        </w:rPr>
      </w:pPr>
      <w:bookmarkStart w:id="0" w:name="BACKGROUND"/>
      <w:r>
        <w:rPr>
          <w:rFonts w:eastAsia="Times New Roman"/>
        </w:rPr>
        <w:t>Title</w:t>
      </w:r>
    </w:p>
    <w:p w:rsidR="003C7BB0" w:rsidRPr="003C7BB0" w:rsidRDefault="00CD4A9E" w:rsidP="003C7BB0">
      <w:proofErr w:type="spellStart"/>
      <w:r>
        <w:t>Elagolix</w:t>
      </w:r>
      <w:proofErr w:type="spellEnd"/>
      <w:r>
        <w:t xml:space="preserve"> </w:t>
      </w:r>
      <w:r w:rsidR="003C7BB0">
        <w:t xml:space="preserve">for </w:t>
      </w:r>
      <w:r>
        <w:t>endometriosis</w:t>
      </w:r>
      <w:r w:rsidR="003C7BB0">
        <w:t xml:space="preserve">: </w:t>
      </w:r>
      <w:r w:rsidR="003458EB">
        <w:t xml:space="preserve">protocol of a </w:t>
      </w:r>
      <w:r w:rsidR="003C7BB0">
        <w:t>systematic review and meta-analysis of randomized controlled trials</w:t>
      </w:r>
    </w:p>
    <w:p w:rsidR="00623CE3" w:rsidRDefault="00623CE3" w:rsidP="00623CE3">
      <w:pPr>
        <w:pStyle w:val="Heading1"/>
        <w:rPr>
          <w:rFonts w:eastAsia="Times New Roman"/>
        </w:rPr>
      </w:pPr>
      <w:r>
        <w:rPr>
          <w:rFonts w:eastAsia="Times New Roman"/>
        </w:rPr>
        <w:t>Authors</w:t>
      </w:r>
    </w:p>
    <w:p w:rsidR="005F180C" w:rsidRDefault="00CD4A9E" w:rsidP="003C7BB0">
      <w:pPr>
        <w:rPr>
          <w:rFonts w:eastAsia="Times New Roman"/>
        </w:rPr>
      </w:pPr>
      <w:proofErr w:type="spellStart"/>
      <w:r>
        <w:rPr>
          <w:rFonts w:eastAsia="Times New Roman"/>
        </w:rPr>
        <w:t>Mazen</w:t>
      </w:r>
      <w:proofErr w:type="spellEnd"/>
      <w:r w:rsidR="00250F16">
        <w:rPr>
          <w:rFonts w:eastAsia="Times New Roman"/>
        </w:rPr>
        <w:t xml:space="preserve"> Refaat</w:t>
      </w:r>
    </w:p>
    <w:p w:rsidR="00CD4A9E" w:rsidRDefault="00CD4A9E" w:rsidP="003C7BB0">
      <w:pPr>
        <w:rPr>
          <w:rFonts w:eastAsia="Times New Roman"/>
        </w:rPr>
      </w:pPr>
      <w:r>
        <w:rPr>
          <w:rFonts w:eastAsia="Times New Roman"/>
        </w:rPr>
        <w:t>Seif</w:t>
      </w:r>
      <w:r w:rsidR="00250F16">
        <w:rPr>
          <w:rFonts w:eastAsia="Times New Roman"/>
        </w:rPr>
        <w:t xml:space="preserve"> </w:t>
      </w:r>
      <w:r w:rsidR="00A20F3D">
        <w:rPr>
          <w:rFonts w:eastAsia="Times New Roman"/>
        </w:rPr>
        <w:t>Tarek</w:t>
      </w:r>
    </w:p>
    <w:p w:rsidR="004E2CC1" w:rsidRDefault="004E2CC1" w:rsidP="004E2CC1">
      <w:pPr>
        <w:rPr>
          <w:rFonts w:eastAsia="Times New Roman"/>
        </w:rPr>
      </w:pPr>
      <w:r>
        <w:rPr>
          <w:rFonts w:eastAsia="Times New Roman"/>
        </w:rPr>
        <w:t>Ashraf Nabhan, Ain Shams University, anabhan@med.asu.edu.eg</w:t>
      </w:r>
    </w:p>
    <w:p w:rsidR="003947F1" w:rsidRDefault="003947F1" w:rsidP="007E4750">
      <w:pPr>
        <w:rPr>
          <w:rFonts w:eastAsia="Times New Roman"/>
        </w:rPr>
      </w:pPr>
      <w:r>
        <w:t xml:space="preserve">Corresponding Author: </w:t>
      </w:r>
      <w:r>
        <w:rPr>
          <w:rFonts w:eastAsia="Times New Roman"/>
        </w:rPr>
        <w:t>Ashraf Nabhan</w:t>
      </w:r>
    </w:p>
    <w:p w:rsidR="003947F1" w:rsidRDefault="003947F1" w:rsidP="007E4750">
      <w:r>
        <w:t>Address: 50, El-Khalifa El-Maamoun street, Heliopolis, Cairo, Egypt.</w:t>
      </w:r>
    </w:p>
    <w:p w:rsidR="007E4750" w:rsidRPr="00E45CE8" w:rsidRDefault="007E4750" w:rsidP="007E4750">
      <w:r w:rsidRPr="00E45CE8">
        <w:t>Authors' contributions</w:t>
      </w:r>
    </w:p>
    <w:p w:rsidR="007E4750" w:rsidRDefault="007E4750" w:rsidP="007E4750">
      <w:r w:rsidRPr="00E45CE8">
        <w:t xml:space="preserve">All authors jointly contributed to conception and design of the protocol. AN devised the original review protocol that was further revised by </w:t>
      </w:r>
      <w:r w:rsidR="00CD4A9E">
        <w:t>M and S</w:t>
      </w:r>
      <w:r w:rsidRPr="00E45CE8">
        <w:t xml:space="preserve">. AN drafted this manuscript with assistance from </w:t>
      </w:r>
      <w:r w:rsidR="00CD4A9E">
        <w:t>M</w:t>
      </w:r>
      <w:r w:rsidRPr="00E45CE8">
        <w:t xml:space="preserve"> and </w:t>
      </w:r>
      <w:r w:rsidR="00CD4A9E">
        <w:t>S</w:t>
      </w:r>
      <w:r w:rsidRPr="00E45CE8">
        <w:t xml:space="preserve">. All authors read and approved the final manuscript prior to submission. </w:t>
      </w:r>
    </w:p>
    <w:p w:rsidR="003947F1" w:rsidRDefault="003947F1" w:rsidP="007E4750">
      <w:r>
        <w:t>Ashraf Nabhan</w:t>
      </w:r>
      <w:r w:rsidRPr="00E45CE8">
        <w:t xml:space="preserve"> is the contact author and guarantor of this protocol.</w:t>
      </w:r>
    </w:p>
    <w:p w:rsidR="00196770" w:rsidRDefault="00196770" w:rsidP="007E4750">
      <w:pPr>
        <w:rPr>
          <w:rFonts w:eastAsia="Times New Roman"/>
        </w:rPr>
      </w:pPr>
      <w:r>
        <w:rPr>
          <w:rFonts w:eastAsia="Times New Roman"/>
        </w:rPr>
        <w:t>This study has not received funding.</w:t>
      </w:r>
    </w:p>
    <w:p w:rsidR="003947F1" w:rsidRDefault="003947F1" w:rsidP="003C7BB0">
      <w:pPr>
        <w:pStyle w:val="Heading1"/>
      </w:pPr>
      <w:bookmarkStart w:id="1" w:name="METHODS"/>
      <w:bookmarkEnd w:id="0"/>
      <w:r>
        <w:t>Abstract</w:t>
      </w:r>
    </w:p>
    <w:p w:rsidR="003947F1" w:rsidRDefault="003947F1" w:rsidP="003947F1">
      <w:r>
        <w:t>Background:</w:t>
      </w:r>
      <w:r w:rsidR="00CD4A9E">
        <w:t xml:space="preserve"> </w:t>
      </w:r>
      <w:bookmarkStart w:id="2" w:name="_Hlk527914549"/>
      <w:r w:rsidR="00CD4A9E">
        <w:t xml:space="preserve">Endometriosis is a common health condition in women during their reproductive years. </w:t>
      </w:r>
      <w:proofErr w:type="spellStart"/>
      <w:r w:rsidR="00CD4A9E">
        <w:t>Elagolix</w:t>
      </w:r>
      <w:proofErr w:type="spellEnd"/>
      <w:r w:rsidR="00CD4A9E">
        <w:t xml:space="preserve"> is a new oral </w:t>
      </w:r>
      <w:proofErr w:type="spellStart"/>
      <w:r w:rsidR="00CD4A9E">
        <w:t>GhRH</w:t>
      </w:r>
      <w:proofErr w:type="spellEnd"/>
      <w:r w:rsidR="00CD4A9E">
        <w:t xml:space="preserve"> antagonist.</w:t>
      </w:r>
      <w:r>
        <w:t xml:space="preserve"> We will assess the effectiveness and safety of </w:t>
      </w:r>
      <w:r w:rsidR="00CD4A9E">
        <w:t xml:space="preserve">oral </w:t>
      </w:r>
      <w:proofErr w:type="spellStart"/>
      <w:r w:rsidR="00CD4A9E">
        <w:t>elagolix</w:t>
      </w:r>
      <w:proofErr w:type="spellEnd"/>
      <w:r>
        <w:t xml:space="preserve"> versus </w:t>
      </w:r>
      <w:r w:rsidR="00CD4A9E">
        <w:t>placebo or other pharmacological interventions</w:t>
      </w:r>
      <w:r>
        <w:t xml:space="preserve"> for improving </w:t>
      </w:r>
      <w:r w:rsidR="00CD4A9E">
        <w:t>patient-relevant outcomes</w:t>
      </w:r>
      <w:r>
        <w:t>.</w:t>
      </w:r>
      <w:bookmarkEnd w:id="2"/>
      <w:r>
        <w:t xml:space="preserve">  </w:t>
      </w:r>
    </w:p>
    <w:p w:rsidR="003947F1" w:rsidRDefault="003947F1" w:rsidP="003947F1">
      <w:r>
        <w:lastRenderedPageBreak/>
        <w:t xml:space="preserve">Methods: We will search MEDLINE, </w:t>
      </w:r>
      <w:proofErr w:type="spellStart"/>
      <w:r>
        <w:t>Embase</w:t>
      </w:r>
      <w:proofErr w:type="spellEnd"/>
      <w:r>
        <w:t xml:space="preserve"> and Cochrane Library databases from inception to August 2018. We will include all published randomized controlled trials. Study screening and data extraction will be conducted by two authors in duplicate. Our primary outcome measure will be the </w:t>
      </w:r>
      <w:r w:rsidR="00CD4A9E">
        <w:t>QOL</w:t>
      </w:r>
      <w:r>
        <w:t xml:space="preserve"> at 12 months.  We will assess the risk of bias using Cochrane risk of bias tool. </w:t>
      </w:r>
    </w:p>
    <w:p w:rsidR="003947F1" w:rsidRDefault="003947F1" w:rsidP="003947F1">
      <w:r>
        <w:t xml:space="preserve">Discussion: Currently, the lack of a high quality updated synthesized evidence does not enable women and care providers to make well informed decisions regarding the effectiveness and safety of </w:t>
      </w:r>
      <w:proofErr w:type="spellStart"/>
      <w:r w:rsidR="00CD4A9E">
        <w:t>elagolix</w:t>
      </w:r>
      <w:proofErr w:type="spellEnd"/>
      <w:r>
        <w:t xml:space="preserve">. </w:t>
      </w:r>
    </w:p>
    <w:p w:rsidR="003947F1" w:rsidRDefault="003947F1" w:rsidP="003C7BB0">
      <w:pPr>
        <w:pStyle w:val="Heading1"/>
      </w:pPr>
      <w:r>
        <w:t>Keywords</w:t>
      </w:r>
    </w:p>
    <w:p w:rsidR="003947F1" w:rsidRPr="003947F1" w:rsidRDefault="00CD4A9E" w:rsidP="003947F1">
      <w:r>
        <w:t>Endometriosis</w:t>
      </w:r>
      <w:r w:rsidR="004E7239" w:rsidRPr="004E7239">
        <w:t xml:space="preserve">, </w:t>
      </w:r>
      <w:proofErr w:type="spellStart"/>
      <w:r>
        <w:t>elagolix</w:t>
      </w:r>
      <w:proofErr w:type="spellEnd"/>
      <w:r>
        <w:t>.</w:t>
      </w:r>
    </w:p>
    <w:p w:rsidR="003C7BB0" w:rsidRPr="003C7BB0" w:rsidRDefault="003C7BB0" w:rsidP="003C7BB0">
      <w:pPr>
        <w:pStyle w:val="Heading1"/>
      </w:pPr>
      <w:r w:rsidRPr="003C7BB0">
        <w:t xml:space="preserve">Introduction </w:t>
      </w:r>
    </w:p>
    <w:p w:rsidR="004E2CC1" w:rsidRDefault="003C7BB0" w:rsidP="003C7BB0">
      <w:pPr>
        <w:pStyle w:val="Heading2"/>
      </w:pPr>
      <w:r>
        <w:t>Rationale</w:t>
      </w:r>
    </w:p>
    <w:p w:rsidR="00BC1438" w:rsidRPr="00BC1438" w:rsidRDefault="00BC1438" w:rsidP="00BC1438">
      <w:bookmarkStart w:id="3" w:name="_Hlk527915140"/>
      <w:r w:rsidRPr="00BC1438">
        <w:t xml:space="preserve">Endometriosis remains an enigmatic chronic health problem of women during their reproductive years. The prevalence of endometriosis peaks in the third and fourth decades affecting 6-10% of women. Women usually complaint of dysmenorrhea, chronic pelvic pain, deep dyspareunia and infertility. The different types of pain associated with endometriosis can adversely affect a woman’s quality of life and her work productivity. Health service utilization increases to cover diagnostic workup and different lines of interventions.  Initial interventions to relief the symptoms of endometriosis include nonsteroidal anti-inflammatory drugs, depot </w:t>
      </w:r>
      <w:proofErr w:type="spellStart"/>
      <w:r w:rsidRPr="00BC1438">
        <w:t>medroxy</w:t>
      </w:r>
      <w:proofErr w:type="spellEnd"/>
      <w:r w:rsidRPr="00BC1438">
        <w:t xml:space="preserve"> progesterone acetate, and Gonadotropin-releasing hormone (GnRH) agonists. Surgery for women with symptomatic endometriosis offers an </w:t>
      </w:r>
      <w:r w:rsidRPr="00BC1438">
        <w:lastRenderedPageBreak/>
        <w:t xml:space="preserve">important line of treatment at the time of a diagnostic laparoscopy or after an insufficient response to medical therapy. </w:t>
      </w:r>
      <w:proofErr w:type="spellStart"/>
      <w:r w:rsidRPr="00BC1438">
        <w:t>Elagolix</w:t>
      </w:r>
      <w:proofErr w:type="spellEnd"/>
      <w:r w:rsidRPr="00BC1438">
        <w:t xml:space="preserve"> is a new, short-acting, oral, nonpeptide, GnRH antagonist. </w:t>
      </w:r>
      <w:proofErr w:type="spellStart"/>
      <w:r w:rsidRPr="00BC1438">
        <w:t>Elagolix</w:t>
      </w:r>
      <w:proofErr w:type="spellEnd"/>
      <w:r w:rsidRPr="00BC1438">
        <w:t xml:space="preserve"> acts by suppressing the anterior pituitary gonadotropin secretion. </w:t>
      </w:r>
      <w:proofErr w:type="spellStart"/>
      <w:r w:rsidRPr="00BC1438">
        <w:t>Elagolix</w:t>
      </w:r>
      <w:proofErr w:type="spellEnd"/>
      <w:r w:rsidRPr="00BC1438">
        <w:t xml:space="preserve">, as compared to GnRH, does not cause an initial stimulation of the anterior pituitary gland. Thus, </w:t>
      </w:r>
      <w:proofErr w:type="spellStart"/>
      <w:r w:rsidRPr="00BC1438">
        <w:t>elagolix</w:t>
      </w:r>
      <w:proofErr w:type="spellEnd"/>
      <w:r w:rsidRPr="00BC1438">
        <w:t xml:space="preserve"> does not result in an initial increase in symptoms. Moreover, the oral route might provide an additional advantage over GnRH agonists. </w:t>
      </w:r>
      <w:proofErr w:type="spellStart"/>
      <w:r w:rsidRPr="00BC1438">
        <w:t>Elagolix</w:t>
      </w:r>
      <w:proofErr w:type="spellEnd"/>
      <w:r w:rsidRPr="00BC1438">
        <w:t xml:space="preserve"> produces a dose-dependent suppression of ovarian estrogen production. The potential for </w:t>
      </w:r>
      <w:proofErr w:type="spellStart"/>
      <w:r w:rsidRPr="00BC1438">
        <w:t>elagolix</w:t>
      </w:r>
      <w:proofErr w:type="spellEnd"/>
      <w:r w:rsidRPr="00BC1438">
        <w:t xml:space="preserve"> to produce partial suppression at lower doses may decrease endometriosis-related pain while avoiding the undesirable hypoestrogenic effects like hot flashes, vaginal dryness, and the decrease in bone mineral density.</w:t>
      </w:r>
    </w:p>
    <w:bookmarkEnd w:id="3"/>
    <w:p w:rsidR="003C7BB0" w:rsidRDefault="003C7BB0" w:rsidP="003C7BB0">
      <w:pPr>
        <w:pStyle w:val="Heading2"/>
      </w:pPr>
      <w:r>
        <w:t>Objectives</w:t>
      </w:r>
    </w:p>
    <w:p w:rsidR="003C7BB0" w:rsidRDefault="00B36E84" w:rsidP="003C7BB0">
      <w:r>
        <w:t xml:space="preserve">We will </w:t>
      </w:r>
      <w:bookmarkStart w:id="4" w:name="_Hlk527915168"/>
      <w:r>
        <w:t xml:space="preserve">assess the effectiveness and safety of </w:t>
      </w:r>
      <w:proofErr w:type="spellStart"/>
      <w:r w:rsidR="00F943DD">
        <w:t>elagolix</w:t>
      </w:r>
      <w:proofErr w:type="spellEnd"/>
      <w:r w:rsidR="00F943DD">
        <w:t xml:space="preserve"> </w:t>
      </w:r>
      <w:r>
        <w:t xml:space="preserve">for improving </w:t>
      </w:r>
      <w:r w:rsidR="00C43191">
        <w:t>QOL in women with endometriosis</w:t>
      </w:r>
      <w:r w:rsidR="003C7BB0">
        <w:t>.</w:t>
      </w:r>
      <w:bookmarkEnd w:id="4"/>
    </w:p>
    <w:p w:rsidR="00677B0E" w:rsidRDefault="00F43C30">
      <w:pPr>
        <w:pStyle w:val="Heading1"/>
        <w:rPr>
          <w:rFonts w:eastAsia="Times New Roman"/>
        </w:rPr>
      </w:pPr>
      <w:r>
        <w:rPr>
          <w:rFonts w:eastAsia="Times New Roman"/>
        </w:rPr>
        <w:t xml:space="preserve">Methods </w:t>
      </w:r>
      <w:bookmarkEnd w:id="1"/>
    </w:p>
    <w:p w:rsidR="00677B0E" w:rsidRDefault="00F43C30">
      <w:pPr>
        <w:pStyle w:val="Heading2"/>
        <w:rPr>
          <w:rFonts w:eastAsia="Times New Roman"/>
        </w:rPr>
      </w:pPr>
      <w:bookmarkStart w:id="5" w:name="SELECTION_CRITERIA"/>
      <w:r>
        <w:rPr>
          <w:rFonts w:eastAsia="Times New Roman"/>
        </w:rPr>
        <w:t xml:space="preserve">Criteria for considering studies for this review </w:t>
      </w:r>
      <w:bookmarkEnd w:id="5"/>
    </w:p>
    <w:p w:rsidR="00677B0E" w:rsidRDefault="00F43C30">
      <w:pPr>
        <w:pStyle w:val="Heading3"/>
        <w:rPr>
          <w:rFonts w:eastAsia="Times New Roman"/>
        </w:rPr>
      </w:pPr>
      <w:bookmarkStart w:id="6" w:name="CRIT_STUDIES"/>
      <w:r>
        <w:rPr>
          <w:rFonts w:eastAsia="Times New Roman"/>
        </w:rPr>
        <w:t xml:space="preserve">Types of studies </w:t>
      </w:r>
      <w:bookmarkEnd w:id="6"/>
    </w:p>
    <w:p w:rsidR="00677B0E" w:rsidRDefault="00F43C30" w:rsidP="009454C2">
      <w:r>
        <w:t>We will include all published randomi</w:t>
      </w:r>
      <w:r w:rsidR="00623CE3">
        <w:t>z</w:t>
      </w:r>
      <w:r>
        <w:t xml:space="preserve">ed controlled trials (RCTs). </w:t>
      </w:r>
    </w:p>
    <w:p w:rsidR="003C7BB0" w:rsidRDefault="003C7BB0">
      <w:pPr>
        <w:pStyle w:val="Heading3"/>
        <w:rPr>
          <w:rFonts w:eastAsia="Times New Roman"/>
        </w:rPr>
      </w:pPr>
      <w:bookmarkStart w:id="7" w:name="CRIT_PARTICIPANTS"/>
      <w:r>
        <w:rPr>
          <w:rFonts w:eastAsia="Times New Roman"/>
        </w:rPr>
        <w:t xml:space="preserve">Types of participants </w:t>
      </w:r>
      <w:bookmarkEnd w:id="7"/>
    </w:p>
    <w:p w:rsidR="003C7BB0" w:rsidRDefault="003C7BB0" w:rsidP="003C7BB0">
      <w:r>
        <w:t xml:space="preserve">Participants: </w:t>
      </w:r>
      <w:r w:rsidRPr="00FD0085">
        <w:t xml:space="preserve">Women </w:t>
      </w:r>
      <w:r w:rsidR="00C43191">
        <w:t xml:space="preserve">with endometriosis. </w:t>
      </w:r>
    </w:p>
    <w:p w:rsidR="003C7BB0" w:rsidRDefault="003C7BB0">
      <w:pPr>
        <w:pStyle w:val="Heading3"/>
        <w:rPr>
          <w:rFonts w:eastAsia="Times New Roman"/>
        </w:rPr>
      </w:pPr>
      <w:bookmarkStart w:id="8" w:name="CRIT_INTERVENTIONS"/>
      <w:r>
        <w:rPr>
          <w:rFonts w:eastAsia="Times New Roman"/>
        </w:rPr>
        <w:t xml:space="preserve">Types of interventions </w:t>
      </w:r>
      <w:bookmarkEnd w:id="8"/>
    </w:p>
    <w:p w:rsidR="003C7BB0" w:rsidRDefault="003C7BB0" w:rsidP="003C7BB0">
      <w:r>
        <w:t xml:space="preserve">intervention: </w:t>
      </w:r>
      <w:r w:rsidR="00C43191">
        <w:t xml:space="preserve">oral </w:t>
      </w:r>
      <w:proofErr w:type="spellStart"/>
      <w:r w:rsidR="00C43191">
        <w:t>elagolix</w:t>
      </w:r>
      <w:proofErr w:type="spellEnd"/>
    </w:p>
    <w:p w:rsidR="003C7BB0" w:rsidRDefault="003C7BB0" w:rsidP="003C7BB0">
      <w:r>
        <w:lastRenderedPageBreak/>
        <w:t xml:space="preserve">comparison: </w:t>
      </w:r>
      <w:r w:rsidR="00C43191">
        <w:t>placebo, no intervention, active pharmacological interventions</w:t>
      </w:r>
    </w:p>
    <w:p w:rsidR="003C7BB0" w:rsidRDefault="003C7BB0">
      <w:pPr>
        <w:pStyle w:val="Heading3"/>
        <w:rPr>
          <w:rFonts w:eastAsia="Times New Roman"/>
        </w:rPr>
      </w:pPr>
      <w:bookmarkStart w:id="9" w:name="CRIT_OUTCOMES"/>
      <w:r>
        <w:rPr>
          <w:rFonts w:eastAsia="Times New Roman"/>
        </w:rPr>
        <w:t xml:space="preserve">Types of outcome measures </w:t>
      </w:r>
      <w:bookmarkEnd w:id="9"/>
    </w:p>
    <w:p w:rsidR="003C7BB0" w:rsidRDefault="003C7BB0">
      <w:pPr>
        <w:pStyle w:val="Heading4"/>
        <w:rPr>
          <w:rFonts w:eastAsia="Times New Roman"/>
        </w:rPr>
      </w:pPr>
      <w:r>
        <w:rPr>
          <w:rFonts w:eastAsia="Times New Roman"/>
        </w:rPr>
        <w:t>Primary outcomes</w:t>
      </w:r>
    </w:p>
    <w:p w:rsidR="003C7BB0" w:rsidRDefault="00C43191" w:rsidP="003C7BB0">
      <w:pPr>
        <w:pStyle w:val="ListParagraph"/>
        <w:numPr>
          <w:ilvl w:val="0"/>
          <w:numId w:val="15"/>
        </w:numPr>
      </w:pPr>
      <w:r>
        <w:t>QOL</w:t>
      </w:r>
      <w:r w:rsidR="003C7BB0">
        <w:t>.</w:t>
      </w:r>
    </w:p>
    <w:p w:rsidR="003C7BB0" w:rsidRDefault="003C7BB0">
      <w:pPr>
        <w:pStyle w:val="Heading4"/>
        <w:rPr>
          <w:rFonts w:eastAsia="Times New Roman"/>
        </w:rPr>
      </w:pPr>
      <w:r>
        <w:rPr>
          <w:rFonts w:eastAsia="Times New Roman"/>
        </w:rPr>
        <w:t>Secondary outcomes</w:t>
      </w:r>
    </w:p>
    <w:p w:rsidR="000B2AB0" w:rsidRDefault="000B2AB0" w:rsidP="000B2AB0">
      <w:pPr>
        <w:pStyle w:val="ListParagraph"/>
        <w:numPr>
          <w:ilvl w:val="0"/>
          <w:numId w:val="15"/>
        </w:numPr>
      </w:pPr>
      <w:r>
        <w:t xml:space="preserve">Dysmenorrhea </w:t>
      </w:r>
    </w:p>
    <w:p w:rsidR="000B2AB0" w:rsidRDefault="000B2AB0" w:rsidP="000B2AB0">
      <w:pPr>
        <w:pStyle w:val="ListParagraph"/>
        <w:numPr>
          <w:ilvl w:val="0"/>
          <w:numId w:val="15"/>
        </w:numPr>
      </w:pPr>
      <w:r>
        <w:t xml:space="preserve">Non-menstrual pelvic pain </w:t>
      </w:r>
    </w:p>
    <w:p w:rsidR="000B2AB0" w:rsidRDefault="000B2AB0" w:rsidP="000B2AB0">
      <w:pPr>
        <w:pStyle w:val="ListParagraph"/>
        <w:numPr>
          <w:ilvl w:val="0"/>
          <w:numId w:val="15"/>
        </w:numPr>
      </w:pPr>
      <w:r>
        <w:t xml:space="preserve">Dyspareunia </w:t>
      </w:r>
    </w:p>
    <w:p w:rsidR="000B2AB0" w:rsidRDefault="000B2AB0" w:rsidP="000B2AB0">
      <w:pPr>
        <w:pStyle w:val="ListParagraph"/>
        <w:numPr>
          <w:ilvl w:val="0"/>
          <w:numId w:val="15"/>
        </w:numPr>
      </w:pPr>
      <w:r>
        <w:t xml:space="preserve">Additional use of analgesics </w:t>
      </w:r>
    </w:p>
    <w:p w:rsidR="000B2AB0" w:rsidRDefault="000B2AB0" w:rsidP="000B2AB0">
      <w:pPr>
        <w:pStyle w:val="ListParagraph"/>
        <w:numPr>
          <w:ilvl w:val="0"/>
          <w:numId w:val="15"/>
        </w:numPr>
      </w:pPr>
      <w:r>
        <w:t>Adverse events</w:t>
      </w:r>
    </w:p>
    <w:p w:rsidR="000B2AB0" w:rsidRDefault="000B2AB0" w:rsidP="000B2AB0">
      <w:pPr>
        <w:pStyle w:val="ListParagraph"/>
        <w:numPr>
          <w:ilvl w:val="1"/>
          <w:numId w:val="15"/>
        </w:numPr>
      </w:pPr>
      <w:bookmarkStart w:id="10" w:name="_Hlk527915367"/>
      <w:r>
        <w:t>Any adverse event leading to discontinuation</w:t>
      </w:r>
    </w:p>
    <w:p w:rsidR="000B2AB0" w:rsidRDefault="000B2AB0" w:rsidP="000B2AB0">
      <w:pPr>
        <w:pStyle w:val="ListParagraph"/>
        <w:numPr>
          <w:ilvl w:val="1"/>
          <w:numId w:val="15"/>
        </w:numPr>
      </w:pPr>
      <w:r>
        <w:t>Bone mineral density</w:t>
      </w:r>
    </w:p>
    <w:p w:rsidR="000B2AB0" w:rsidRDefault="000B2AB0" w:rsidP="000B2AB0">
      <w:pPr>
        <w:pStyle w:val="ListParagraph"/>
        <w:numPr>
          <w:ilvl w:val="1"/>
          <w:numId w:val="15"/>
        </w:numPr>
      </w:pPr>
      <w:r>
        <w:t>Hot flashes</w:t>
      </w:r>
    </w:p>
    <w:p w:rsidR="000B2AB0" w:rsidRDefault="000B2AB0" w:rsidP="000B2AB0">
      <w:pPr>
        <w:pStyle w:val="ListParagraph"/>
        <w:numPr>
          <w:ilvl w:val="1"/>
          <w:numId w:val="15"/>
        </w:numPr>
      </w:pPr>
      <w:r>
        <w:t>Vaginal dryness</w:t>
      </w:r>
    </w:p>
    <w:bookmarkEnd w:id="10"/>
    <w:p w:rsidR="003C7BB0" w:rsidRDefault="003C7BB0" w:rsidP="000B2AB0">
      <w:r>
        <w:t xml:space="preserve">Length of follow-up: </w:t>
      </w:r>
      <w:r w:rsidR="00C43191">
        <w:t>6</w:t>
      </w:r>
      <w:r>
        <w:t xml:space="preserve"> months. </w:t>
      </w:r>
    </w:p>
    <w:p w:rsidR="00677B0E" w:rsidRDefault="00F43C30">
      <w:pPr>
        <w:pStyle w:val="Heading2"/>
        <w:rPr>
          <w:rFonts w:eastAsia="Times New Roman"/>
        </w:rPr>
      </w:pPr>
      <w:bookmarkStart w:id="11" w:name="SEARCH_METHODS"/>
      <w:r>
        <w:rPr>
          <w:rFonts w:eastAsia="Times New Roman"/>
        </w:rPr>
        <w:t xml:space="preserve">Search methods for identification of studies </w:t>
      </w:r>
      <w:bookmarkEnd w:id="11"/>
    </w:p>
    <w:p w:rsidR="00677B0E" w:rsidRDefault="00F43C30">
      <w:pPr>
        <w:pStyle w:val="Heading3"/>
        <w:rPr>
          <w:rFonts w:eastAsia="Times New Roman"/>
        </w:rPr>
      </w:pPr>
      <w:bookmarkStart w:id="12" w:name="ELECTRONIC_SEARCHES"/>
      <w:r>
        <w:rPr>
          <w:rFonts w:eastAsia="Times New Roman"/>
        </w:rPr>
        <w:t xml:space="preserve">Electronic searches </w:t>
      </w:r>
      <w:bookmarkEnd w:id="12"/>
    </w:p>
    <w:p w:rsidR="00677B0E" w:rsidRDefault="00F43C30" w:rsidP="0045758A">
      <w:r>
        <w:t>We will identify trials through systematic searches of the following bibliographic databases:</w:t>
      </w:r>
    </w:p>
    <w:p w:rsidR="00677B0E" w:rsidRPr="0045758A" w:rsidRDefault="00F43C30" w:rsidP="0045758A">
      <w:pPr>
        <w:pStyle w:val="ListParagraph"/>
        <w:numPr>
          <w:ilvl w:val="0"/>
          <w:numId w:val="18"/>
        </w:numPr>
        <w:rPr>
          <w:rFonts w:eastAsia="Times New Roman"/>
        </w:rPr>
      </w:pPr>
      <w:r w:rsidRPr="0045758A">
        <w:rPr>
          <w:rFonts w:eastAsia="Times New Roman"/>
        </w:rPr>
        <w:t>Cochrane Central Register of Controlled Trials (CENTRAL) on the Cochrane Library</w:t>
      </w:r>
    </w:p>
    <w:p w:rsidR="00677B0E" w:rsidRPr="0045758A" w:rsidRDefault="00F43C30" w:rsidP="0045758A">
      <w:pPr>
        <w:pStyle w:val="ListParagraph"/>
        <w:numPr>
          <w:ilvl w:val="0"/>
          <w:numId w:val="18"/>
        </w:numPr>
        <w:rPr>
          <w:rFonts w:eastAsia="Times New Roman"/>
        </w:rPr>
      </w:pPr>
      <w:r w:rsidRPr="0045758A">
        <w:rPr>
          <w:rFonts w:eastAsia="Times New Roman"/>
        </w:rPr>
        <w:t>MEDLINE (</w:t>
      </w:r>
      <w:r w:rsidR="003C7BB0" w:rsidRPr="0045758A">
        <w:rPr>
          <w:rFonts w:eastAsia="Times New Roman"/>
        </w:rPr>
        <w:t>EBSCO</w:t>
      </w:r>
      <w:r w:rsidRPr="0045758A">
        <w:rPr>
          <w:rFonts w:eastAsia="Times New Roman"/>
        </w:rPr>
        <w:t>)</w:t>
      </w:r>
    </w:p>
    <w:p w:rsidR="00677B0E" w:rsidRDefault="00F43C30" w:rsidP="0045758A">
      <w:pPr>
        <w:pStyle w:val="ListParagraph"/>
        <w:numPr>
          <w:ilvl w:val="0"/>
          <w:numId w:val="18"/>
        </w:numPr>
        <w:rPr>
          <w:rFonts w:eastAsia="Times New Roman"/>
        </w:rPr>
      </w:pPr>
      <w:proofErr w:type="spellStart"/>
      <w:r w:rsidRPr="0045758A">
        <w:rPr>
          <w:rFonts w:eastAsia="Times New Roman"/>
        </w:rPr>
        <w:t>Embase</w:t>
      </w:r>
      <w:proofErr w:type="spellEnd"/>
      <w:r w:rsidRPr="0045758A">
        <w:rPr>
          <w:rFonts w:eastAsia="Times New Roman"/>
        </w:rPr>
        <w:t xml:space="preserve"> (Ovid)</w:t>
      </w:r>
    </w:p>
    <w:p w:rsidR="003C7BB0" w:rsidRDefault="00F43C30" w:rsidP="0045758A">
      <w:r>
        <w:lastRenderedPageBreak/>
        <w:t xml:space="preserve">The preliminary search strategy for </w:t>
      </w:r>
      <w:r w:rsidR="003C7BB0">
        <w:t>CENTAL</w:t>
      </w:r>
      <w:r>
        <w:t xml:space="preserve"> (</w:t>
      </w:r>
      <w:hyperlink w:anchor="_CENTRAL_search_strategy" w:history="1">
        <w:r>
          <w:rPr>
            <w:rStyle w:val="Hyperlink"/>
          </w:rPr>
          <w:t>Appendix 1</w:t>
        </w:r>
      </w:hyperlink>
      <w:r>
        <w:t>) will be adapted for use in the other databases.</w:t>
      </w:r>
    </w:p>
    <w:p w:rsidR="00677B0E" w:rsidRDefault="00F43C30" w:rsidP="0045758A">
      <w:r>
        <w:t>We will also conduct a search of ClinicalTrials.gov (</w:t>
      </w:r>
      <w:hyperlink r:id="rId8" w:tgtFrame="_blank" w:history="1">
        <w:r>
          <w:rPr>
            <w:rStyle w:val="Hyperlink"/>
          </w:rPr>
          <w:t>www.ClinicalTrials.gov</w:t>
        </w:r>
      </w:hyperlink>
      <w:r>
        <w:t>) and the WHO International Clinical Trials Registry Platform (ICTRP) Search Portal (</w:t>
      </w:r>
      <w:hyperlink r:id="rId9" w:tgtFrame="_blank" w:history="1">
        <w:r>
          <w:rPr>
            <w:rStyle w:val="Hyperlink"/>
          </w:rPr>
          <w:t>apps.who.int/</w:t>
        </w:r>
        <w:proofErr w:type="spellStart"/>
        <w:r>
          <w:rPr>
            <w:rStyle w:val="Hyperlink"/>
          </w:rPr>
          <w:t>trialsearch</w:t>
        </w:r>
        <w:proofErr w:type="spellEnd"/>
        <w:r>
          <w:rPr>
            <w:rStyle w:val="Hyperlink"/>
          </w:rPr>
          <w:t>/</w:t>
        </w:r>
      </w:hyperlink>
      <w:r>
        <w:t>).</w:t>
      </w:r>
    </w:p>
    <w:p w:rsidR="00677B0E" w:rsidRDefault="00F43C30" w:rsidP="0045758A">
      <w:r>
        <w:t xml:space="preserve">We will search all databases from their inception to the present, and we will </w:t>
      </w:r>
      <w:r w:rsidR="003C7BB0">
        <w:t xml:space="preserve">not use any </w:t>
      </w:r>
      <w:r>
        <w:t xml:space="preserve">language </w:t>
      </w:r>
      <w:r w:rsidR="003C7BB0">
        <w:t>restriction</w:t>
      </w:r>
      <w:r>
        <w:t>.</w:t>
      </w:r>
    </w:p>
    <w:p w:rsidR="00677B0E" w:rsidRDefault="00F43C30">
      <w:pPr>
        <w:pStyle w:val="Heading3"/>
        <w:rPr>
          <w:rFonts w:eastAsia="Times New Roman"/>
        </w:rPr>
      </w:pPr>
      <w:bookmarkStart w:id="13" w:name="OTHER_SEARCHES"/>
      <w:r>
        <w:rPr>
          <w:rFonts w:eastAsia="Times New Roman"/>
        </w:rPr>
        <w:t xml:space="preserve">Searching other resources </w:t>
      </w:r>
      <w:bookmarkEnd w:id="13"/>
    </w:p>
    <w:p w:rsidR="00677B0E" w:rsidRDefault="00F43C30">
      <w:pPr>
        <w:pStyle w:val="NormalWeb"/>
      </w:pPr>
      <w:r>
        <w:t>We will hand</w:t>
      </w:r>
      <w:r w:rsidR="003C7BB0">
        <w:t>-</w:t>
      </w:r>
      <w:r>
        <w:t xml:space="preserve">search reference lists of all included primary studies and relevant review articles for additional references. We will also contact authors for missing data and ongoing trials. </w:t>
      </w:r>
    </w:p>
    <w:p w:rsidR="00677B0E" w:rsidRDefault="00F43C30">
      <w:pPr>
        <w:pStyle w:val="Heading2"/>
        <w:rPr>
          <w:rFonts w:eastAsia="Times New Roman"/>
        </w:rPr>
      </w:pPr>
      <w:bookmarkStart w:id="14" w:name="DATA_COLLECTION"/>
      <w:r>
        <w:rPr>
          <w:rFonts w:eastAsia="Times New Roman"/>
        </w:rPr>
        <w:t xml:space="preserve">Data collection and analysis </w:t>
      </w:r>
      <w:bookmarkEnd w:id="14"/>
    </w:p>
    <w:p w:rsidR="00677B0E" w:rsidRDefault="00F43C30">
      <w:pPr>
        <w:pStyle w:val="Heading3"/>
        <w:rPr>
          <w:rFonts w:eastAsia="Times New Roman"/>
        </w:rPr>
      </w:pPr>
      <w:bookmarkStart w:id="15" w:name="STUDY_SELECTION"/>
      <w:r>
        <w:rPr>
          <w:rFonts w:eastAsia="Times New Roman"/>
        </w:rPr>
        <w:t xml:space="preserve">Selection of studies </w:t>
      </w:r>
      <w:bookmarkEnd w:id="15"/>
    </w:p>
    <w:p w:rsidR="00677B0E" w:rsidRDefault="00F43C30" w:rsidP="0098145C">
      <w:r>
        <w:t xml:space="preserve">Two review authors will independently assess for inclusion of all the studies we identify </w:t>
      </w:r>
      <w:proofErr w:type="gramStart"/>
      <w:r>
        <w:t>as a result of</w:t>
      </w:r>
      <w:proofErr w:type="gramEnd"/>
      <w:r>
        <w:t xml:space="preserve"> the search strategy. We will resolve any disagreement through discussion or, if required, we will consult a third person. We will create a study flow diagram to map out the number of records identified, included and excluded. If the full text cannot be obtained, we will contact the authors to ask for it. If no reply is received, we will categori</w:t>
      </w:r>
      <w:r w:rsidR="00EF4A12">
        <w:t>z</w:t>
      </w:r>
      <w:r>
        <w:t>e the study as awaiting classification. In case of the need for translation, we will contact a relevant professional translator.</w:t>
      </w:r>
    </w:p>
    <w:p w:rsidR="00677B0E" w:rsidRDefault="00F43C30">
      <w:pPr>
        <w:pStyle w:val="Heading3"/>
        <w:rPr>
          <w:rFonts w:eastAsia="Times New Roman"/>
        </w:rPr>
      </w:pPr>
      <w:bookmarkStart w:id="16" w:name="DATA_EXTRACTION"/>
      <w:r>
        <w:rPr>
          <w:rFonts w:eastAsia="Times New Roman"/>
        </w:rPr>
        <w:lastRenderedPageBreak/>
        <w:t xml:space="preserve">Data extraction and management </w:t>
      </w:r>
      <w:bookmarkEnd w:id="16"/>
    </w:p>
    <w:p w:rsidR="00677B0E" w:rsidRDefault="00F43C30" w:rsidP="0098145C">
      <w:r>
        <w:t xml:space="preserve">We will </w:t>
      </w:r>
      <w:r w:rsidR="00EF4A12">
        <w:t xml:space="preserve">use an offline electronic </w:t>
      </w:r>
      <w:r>
        <w:t>form to extract data. For eligible studies, at least two review authors will extract the data using the agreed form. We will resolve discrepancies through discussion or, if required, we will consult a third person. We will enter the data into Review Manager software (</w:t>
      </w:r>
      <w:proofErr w:type="spellStart"/>
      <w:r w:rsidR="00D85084">
        <w:rPr>
          <w:rStyle w:val="Hyperlink"/>
        </w:rPr>
        <w:fldChar w:fldCharType="begin"/>
      </w:r>
      <w:r w:rsidR="00D85084">
        <w:rPr>
          <w:rStyle w:val="Hyperlink"/>
        </w:rPr>
        <w:instrText xml:space="preserve"> HYPERLINK \l "REF-RevMan-2014" </w:instrText>
      </w:r>
      <w:r w:rsidR="00D85084">
        <w:rPr>
          <w:rStyle w:val="Hyperlink"/>
        </w:rPr>
        <w:fldChar w:fldCharType="separate"/>
      </w:r>
      <w:r>
        <w:rPr>
          <w:rStyle w:val="Hyperlink"/>
        </w:rPr>
        <w:t>RevMan</w:t>
      </w:r>
      <w:proofErr w:type="spellEnd"/>
      <w:r>
        <w:rPr>
          <w:rStyle w:val="Hyperlink"/>
        </w:rPr>
        <w:t xml:space="preserve"> 2014</w:t>
      </w:r>
      <w:r w:rsidR="00D85084">
        <w:rPr>
          <w:rStyle w:val="Hyperlink"/>
        </w:rPr>
        <w:fldChar w:fldCharType="end"/>
      </w:r>
      <w:r>
        <w:t>) and check them for accuracy. When information is unclear, we will contact authors of the original reports to provide further details. In case of the need for translation, we will contact a relevant professional translator and use a translated data extraction form.</w:t>
      </w:r>
    </w:p>
    <w:p w:rsidR="00677B0E" w:rsidRDefault="00F43C30">
      <w:pPr>
        <w:pStyle w:val="Heading3"/>
        <w:rPr>
          <w:rFonts w:eastAsia="Times New Roman"/>
        </w:rPr>
      </w:pPr>
      <w:r>
        <w:rPr>
          <w:rFonts w:eastAsia="Times New Roman"/>
        </w:rPr>
        <w:t>Assessment of risk of bias in included studies</w:t>
      </w:r>
    </w:p>
    <w:p w:rsidR="00475657" w:rsidRDefault="00F43C30" w:rsidP="0098145C">
      <w:r>
        <w:t xml:space="preserve">Two review authors will independently assess risk of bias for each study using the criteria outlined in the </w:t>
      </w:r>
      <w:r>
        <w:rPr>
          <w:i/>
          <w:iCs/>
        </w:rPr>
        <w:t xml:space="preserve">Cochrane Handbook for Systematic Reviews of Interventions </w:t>
      </w:r>
      <w:r>
        <w:t>(</w:t>
      </w:r>
      <w:hyperlink w:anchor="REF-Higgins-2011" w:history="1">
        <w:r>
          <w:rPr>
            <w:rStyle w:val="Hyperlink"/>
          </w:rPr>
          <w:t>Higgins 2011</w:t>
        </w:r>
      </w:hyperlink>
      <w:r>
        <w:t xml:space="preserve">). </w:t>
      </w:r>
      <w:r w:rsidR="0092574B">
        <w:t xml:space="preserve">Seven domains related to risk of bias </w:t>
      </w:r>
      <w:r w:rsidR="0098145C">
        <w:t>will be</w:t>
      </w:r>
      <w:r w:rsidR="0092574B">
        <w:t xml:space="preserve"> assessed in each included trial: (1) random sequence generation; (2) allocation concealment; (3) blinding of participants and personnel; (4) blinding of outcome assessment; (5) incomplete outcome data; (6) selective reporting; and (7) other bias. Judgments </w:t>
      </w:r>
      <w:r w:rsidR="0098145C">
        <w:t>will be</w:t>
      </w:r>
      <w:r w:rsidR="0092574B">
        <w:t xml:space="preserve"> categorized as “low”, “high”, or “unclear” risk of bias</w:t>
      </w:r>
      <w:r w:rsidR="0098145C">
        <w:t xml:space="preserve"> (</w:t>
      </w:r>
      <w:hyperlink w:anchor="_Risk_of_bias" w:history="1">
        <w:r w:rsidR="0098145C" w:rsidRPr="0098145C">
          <w:rPr>
            <w:rStyle w:val="Hyperlink"/>
          </w:rPr>
          <w:t>Appendix 2</w:t>
        </w:r>
      </w:hyperlink>
      <w:r w:rsidR="0098145C">
        <w:t>)</w:t>
      </w:r>
      <w:r w:rsidR="0092574B">
        <w:t xml:space="preserve">. </w:t>
      </w:r>
      <w:r>
        <w:t>We will resolve any disagreement by discussion or by involving a third assessor.</w:t>
      </w:r>
      <w:r w:rsidR="0092574B">
        <w:t xml:space="preserve"> </w:t>
      </w:r>
    </w:p>
    <w:p w:rsidR="00677B0E" w:rsidRDefault="00EF4A12" w:rsidP="0098145C">
      <w:r>
        <w:t>W</w:t>
      </w:r>
      <w:r w:rsidR="00F43C30">
        <w:t xml:space="preserve">e will assess the likely magnitude and direction of the bias and whether we consider it is likely to impact on the findings. We will explore the impact of the level of bias through undertaking a </w:t>
      </w:r>
      <w:hyperlink w:anchor="_Sensitivity_analysis" w:history="1">
        <w:r w:rsidR="00F43C30" w:rsidRPr="00DD7FB3">
          <w:rPr>
            <w:rStyle w:val="Hyperlink"/>
          </w:rPr>
          <w:t>sensitivity analysis</w:t>
        </w:r>
      </w:hyperlink>
      <w:r w:rsidR="00F43C30">
        <w:t>.</w:t>
      </w:r>
    </w:p>
    <w:p w:rsidR="00677B0E" w:rsidRDefault="00F43C30">
      <w:pPr>
        <w:pStyle w:val="Heading3"/>
        <w:rPr>
          <w:rFonts w:eastAsia="Times New Roman"/>
        </w:rPr>
      </w:pPr>
      <w:r>
        <w:rPr>
          <w:rFonts w:eastAsia="Times New Roman"/>
        </w:rPr>
        <w:lastRenderedPageBreak/>
        <w:t>Measures of treatment effect</w:t>
      </w:r>
    </w:p>
    <w:p w:rsidR="00677B0E" w:rsidRDefault="00F43C30">
      <w:pPr>
        <w:pStyle w:val="Heading4"/>
        <w:rPr>
          <w:rFonts w:eastAsia="Times New Roman"/>
        </w:rPr>
      </w:pPr>
      <w:r>
        <w:rPr>
          <w:rFonts w:eastAsia="Times New Roman"/>
        </w:rPr>
        <w:t>Dichotomous data</w:t>
      </w:r>
    </w:p>
    <w:p w:rsidR="00677B0E" w:rsidRDefault="00F43C30" w:rsidP="0098145C">
      <w:r>
        <w:t xml:space="preserve">For dichotomous data, we will present results as summary risk ratio with 95% confidence intervals. </w:t>
      </w:r>
    </w:p>
    <w:p w:rsidR="00677B0E" w:rsidRDefault="00F43C30">
      <w:pPr>
        <w:pStyle w:val="Heading4"/>
        <w:rPr>
          <w:rFonts w:eastAsia="Times New Roman"/>
        </w:rPr>
      </w:pPr>
      <w:r>
        <w:rPr>
          <w:rFonts w:eastAsia="Times New Roman"/>
        </w:rPr>
        <w:t>Continuous data</w:t>
      </w:r>
    </w:p>
    <w:p w:rsidR="00677B0E" w:rsidRDefault="00F43C30" w:rsidP="0098145C">
      <w:r>
        <w:t>For continuous data, we will use the mean difference if outcomes are measured in the same way between trials. We will use the standardi</w:t>
      </w:r>
      <w:r w:rsidR="00623CE3">
        <w:t>z</w:t>
      </w:r>
      <w:r>
        <w:t>ed mean difference to combine trials that measure the same outcome but use different methods.</w:t>
      </w:r>
    </w:p>
    <w:p w:rsidR="00677B0E" w:rsidRDefault="00F43C30">
      <w:pPr>
        <w:pStyle w:val="Heading3"/>
        <w:rPr>
          <w:rFonts w:eastAsia="Times New Roman"/>
        </w:rPr>
      </w:pPr>
      <w:bookmarkStart w:id="17" w:name="UNIT_OF_ANALYSIS"/>
      <w:r>
        <w:rPr>
          <w:rFonts w:eastAsia="Times New Roman"/>
        </w:rPr>
        <w:t xml:space="preserve">Unit of analysis issues </w:t>
      </w:r>
      <w:bookmarkEnd w:id="17"/>
    </w:p>
    <w:p w:rsidR="00677B0E" w:rsidRDefault="00F43C30">
      <w:pPr>
        <w:pStyle w:val="Heading4"/>
        <w:rPr>
          <w:rFonts w:eastAsia="Times New Roman"/>
        </w:rPr>
      </w:pPr>
      <w:r>
        <w:rPr>
          <w:rFonts w:eastAsia="Times New Roman"/>
        </w:rPr>
        <w:t>Cluster-</w:t>
      </w:r>
      <w:r w:rsidR="009454C2">
        <w:rPr>
          <w:rFonts w:eastAsia="Times New Roman"/>
        </w:rPr>
        <w:t>randomized</w:t>
      </w:r>
      <w:r>
        <w:rPr>
          <w:rFonts w:eastAsia="Times New Roman"/>
        </w:rPr>
        <w:t xml:space="preserve"> trials</w:t>
      </w:r>
    </w:p>
    <w:p w:rsidR="00677B0E" w:rsidRDefault="00F43C30" w:rsidP="0098145C">
      <w:r>
        <w:t>If we identify both cluster-</w:t>
      </w:r>
      <w:r w:rsidR="009454C2">
        <w:t>randomized</w:t>
      </w:r>
      <w:r>
        <w:t xml:space="preserve"> trials and individually-</w:t>
      </w:r>
      <w:r w:rsidR="009454C2">
        <w:t>randomized</w:t>
      </w:r>
      <w:r>
        <w:t xml:space="preserve"> trials, we plan to </w:t>
      </w:r>
      <w:r w:rsidR="009454C2">
        <w:t>synthesize</w:t>
      </w:r>
      <w:r>
        <w:t xml:space="preserve"> the relevant information. We will consider it reasonable to combine the results from both if there is little heterogeneity between the study designs and the interaction between the effect of the intervention and the choice of </w:t>
      </w:r>
      <w:r w:rsidR="009454C2">
        <w:t>randomization</w:t>
      </w:r>
      <w:r>
        <w:t xml:space="preserve"> unit is considered unlikely. We will also acknowledge heterogeneity in the </w:t>
      </w:r>
      <w:r w:rsidR="009454C2">
        <w:t>randomization</w:t>
      </w:r>
      <w:r>
        <w:t xml:space="preserve"> unit and perform a sensitivity analysis to investigate the effects of the </w:t>
      </w:r>
      <w:r w:rsidR="009454C2">
        <w:t>randomization</w:t>
      </w:r>
      <w:r>
        <w:t xml:space="preserve"> unit.</w:t>
      </w:r>
    </w:p>
    <w:p w:rsidR="00677B0E" w:rsidRDefault="00F43C30">
      <w:pPr>
        <w:pStyle w:val="Heading3"/>
        <w:rPr>
          <w:rFonts w:eastAsia="Times New Roman"/>
        </w:rPr>
      </w:pPr>
      <w:r>
        <w:rPr>
          <w:rFonts w:eastAsia="Times New Roman"/>
        </w:rPr>
        <w:t>Dealing with missing data</w:t>
      </w:r>
    </w:p>
    <w:p w:rsidR="00677B0E" w:rsidRDefault="00F43C30" w:rsidP="0045758A">
      <w:r>
        <w:t>For included studies, we will note levels of attrition. We will first attempt to contact the authors to obtain missing data. If missing data cannot be obtained, we will explore the impact of including studies with missing data in the overall assessment of treatment effect by using a sensitivity analysis.</w:t>
      </w:r>
    </w:p>
    <w:p w:rsidR="00677B0E" w:rsidRDefault="00F43C30" w:rsidP="0045758A">
      <w:r>
        <w:lastRenderedPageBreak/>
        <w:t xml:space="preserve">For all outcomes, we will carry out analyses, as far as possible, on an intention-to-treat basis, i.e. we will attempt to include all participants </w:t>
      </w:r>
      <w:r w:rsidR="009454C2">
        <w:t>randomized</w:t>
      </w:r>
      <w:r>
        <w:t xml:space="preserve"> to each group in the analyses, and all participants will be </w:t>
      </w:r>
      <w:r w:rsidR="009454C2">
        <w:t>analyzed</w:t>
      </w:r>
      <w:r>
        <w:t xml:space="preserve"> in the group to which they were allocated, regardless of whether or not they received the allocated intervention. The denominator for each outcome in each trial will be the number </w:t>
      </w:r>
      <w:r w:rsidR="009454C2">
        <w:t>randomized</w:t>
      </w:r>
      <w:r>
        <w:t xml:space="preserve"> minus any participants whose outcomes are known to be missing.</w:t>
      </w:r>
    </w:p>
    <w:p w:rsidR="00677B0E" w:rsidRDefault="00F43C30">
      <w:pPr>
        <w:pStyle w:val="Heading3"/>
        <w:rPr>
          <w:rFonts w:eastAsia="Times New Roman"/>
        </w:rPr>
      </w:pPr>
      <w:bookmarkStart w:id="18" w:name="HETEROGENEITY_ASSESSMENT"/>
      <w:r>
        <w:rPr>
          <w:rFonts w:eastAsia="Times New Roman"/>
        </w:rPr>
        <w:t xml:space="preserve">Assessment of heterogeneity </w:t>
      </w:r>
      <w:bookmarkEnd w:id="18"/>
    </w:p>
    <w:p w:rsidR="00677B0E" w:rsidRDefault="00F43C30" w:rsidP="0045758A">
      <w:r>
        <w:t>We will assess statistical heterogeneity in each meta-analysis using the T², I² and Chi² statistics. We will regard heterogeneity as substantial if T² is greater than zero, and either I² is greater than or equal to 50%, or there is a low P value (&lt; 0.1) in the Chi² test for heterogeneity.</w:t>
      </w:r>
    </w:p>
    <w:p w:rsidR="00677B0E" w:rsidRDefault="00F43C30">
      <w:pPr>
        <w:pStyle w:val="Heading3"/>
        <w:rPr>
          <w:rFonts w:eastAsia="Times New Roman"/>
        </w:rPr>
      </w:pPr>
      <w:r>
        <w:rPr>
          <w:rFonts w:eastAsia="Times New Roman"/>
        </w:rPr>
        <w:t>Assessment of reporting biases</w:t>
      </w:r>
    </w:p>
    <w:p w:rsidR="00677B0E" w:rsidRDefault="00F43C30" w:rsidP="0045758A">
      <w:r>
        <w:t>If there are 10 or more studies in the meta-analysis we will investigate reporting biases (such as publication bias) using funnel plots. We will assess funnel plot asymmetry visually. If asymmetry is suggested by a visual assessment, we will perform exploratory analyses to investigate it.</w:t>
      </w:r>
    </w:p>
    <w:p w:rsidR="00677B0E" w:rsidRDefault="00F43C30">
      <w:pPr>
        <w:pStyle w:val="Heading3"/>
        <w:rPr>
          <w:rFonts w:eastAsia="Times New Roman"/>
        </w:rPr>
      </w:pPr>
      <w:r>
        <w:rPr>
          <w:rFonts w:eastAsia="Times New Roman"/>
        </w:rPr>
        <w:t>Data synthesis</w:t>
      </w:r>
    </w:p>
    <w:p w:rsidR="00677B0E" w:rsidRDefault="00F43C30" w:rsidP="0045758A">
      <w:r>
        <w:t>We will carry out statistical analysis using Review Manager software (</w:t>
      </w:r>
      <w:proofErr w:type="spellStart"/>
      <w:r w:rsidR="00D85084">
        <w:rPr>
          <w:rStyle w:val="Hyperlink"/>
        </w:rPr>
        <w:fldChar w:fldCharType="begin"/>
      </w:r>
      <w:r w:rsidR="00D85084">
        <w:rPr>
          <w:rStyle w:val="Hyperlink"/>
        </w:rPr>
        <w:instrText xml:space="preserve"> HYPERLINK \l "REF-RevMan-2014" </w:instrText>
      </w:r>
      <w:r w:rsidR="00D85084">
        <w:rPr>
          <w:rStyle w:val="Hyperlink"/>
        </w:rPr>
        <w:fldChar w:fldCharType="separate"/>
      </w:r>
      <w:r>
        <w:rPr>
          <w:rStyle w:val="Hyperlink"/>
        </w:rPr>
        <w:t>RevMan</w:t>
      </w:r>
      <w:proofErr w:type="spellEnd"/>
      <w:r>
        <w:rPr>
          <w:rStyle w:val="Hyperlink"/>
        </w:rPr>
        <w:t xml:space="preserve"> 2014</w:t>
      </w:r>
      <w:r w:rsidR="00D85084">
        <w:rPr>
          <w:rStyle w:val="Hyperlink"/>
        </w:rPr>
        <w:fldChar w:fldCharType="end"/>
      </w:r>
      <w:r>
        <w:t>). We will use fixed-effect meta-analysis for combining data where it is reasonable to assume that studies are estimating the same underlying treatment effect i.e. where trials are examining the same intervention, and the trials’ populations and methods are judged sufficiently similar.</w:t>
      </w:r>
    </w:p>
    <w:p w:rsidR="00677B0E" w:rsidRDefault="00F43C30" w:rsidP="0045758A">
      <w:r>
        <w:lastRenderedPageBreak/>
        <w:t>If there is clinical heterogeneity sufficient to expect that the underlying treatment effects differ between trials, or if substantial statistical heterogeneity is detected (I² statistic ≥ 50% or P &lt; 0.1), we will use random-effects meta-analysis to produce an overall summary if an average treatment effect across trials is considered clinically meaningful. The random-effects summary will be treated as the average range of possible treatment effects and we will discuss the clinical implications of treatment effects differing between trials. If the average treatment effect is not clinically meaningful, we will not combine trials.</w:t>
      </w:r>
    </w:p>
    <w:p w:rsidR="00677B0E" w:rsidRDefault="00F43C30" w:rsidP="0045758A">
      <w:r>
        <w:t>If we use random-effects analyses, the results will be presented as the average treatment effect with its 95% confidence interval, and the estimates of T² and I².</w:t>
      </w:r>
    </w:p>
    <w:p w:rsidR="00677B0E" w:rsidRDefault="00F43C30" w:rsidP="0045758A">
      <w:r>
        <w:t xml:space="preserve">All outcomes listed under </w:t>
      </w:r>
      <w:hyperlink w:anchor="CRIT_OUTCOMES" w:history="1">
        <w:r>
          <w:rPr>
            <w:rStyle w:val="Hyperlink"/>
          </w:rPr>
          <w:t>Types of outcome measures</w:t>
        </w:r>
      </w:hyperlink>
      <w:r>
        <w:t xml:space="preserve"> will be addressed under the heading 'Results: Effects of interventions'. Outcomes will be addressed in the order in which they are listed under </w:t>
      </w:r>
      <w:r w:rsidRPr="00493EE1">
        <w:t>Types of outcome measures</w:t>
      </w:r>
      <w:r>
        <w:t>.</w:t>
      </w:r>
    </w:p>
    <w:p w:rsidR="00677B0E" w:rsidRDefault="00F43C30">
      <w:pPr>
        <w:pStyle w:val="Heading3"/>
        <w:rPr>
          <w:rFonts w:eastAsia="Times New Roman"/>
        </w:rPr>
      </w:pPr>
      <w:r>
        <w:rPr>
          <w:rFonts w:eastAsia="Times New Roman"/>
        </w:rPr>
        <w:t>Quality of the evidence and 'Summary of findings' table</w:t>
      </w:r>
    </w:p>
    <w:p w:rsidR="00677B0E" w:rsidRDefault="00F43C30" w:rsidP="0045758A">
      <w:r>
        <w:t>We will use the GRADE approach (</w:t>
      </w:r>
      <w:proofErr w:type="spellStart"/>
      <w:r w:rsidR="00D85084">
        <w:rPr>
          <w:rStyle w:val="Hyperlink"/>
        </w:rPr>
        <w:fldChar w:fldCharType="begin"/>
      </w:r>
      <w:r w:rsidR="00D85084">
        <w:rPr>
          <w:rStyle w:val="Hyperlink"/>
        </w:rPr>
        <w:instrText xml:space="preserve"> HYPERLINK \l "REF-Sch_x00fc_nemann-2009" </w:instrText>
      </w:r>
      <w:r w:rsidR="00D85084">
        <w:rPr>
          <w:rStyle w:val="Hyperlink"/>
        </w:rPr>
        <w:fldChar w:fldCharType="separate"/>
      </w:r>
      <w:r>
        <w:rPr>
          <w:rStyle w:val="Hyperlink"/>
        </w:rPr>
        <w:t>Schünemann</w:t>
      </w:r>
      <w:proofErr w:type="spellEnd"/>
      <w:r>
        <w:rPr>
          <w:rStyle w:val="Hyperlink"/>
        </w:rPr>
        <w:t xml:space="preserve"> 2009</w:t>
      </w:r>
      <w:r w:rsidR="00D85084">
        <w:rPr>
          <w:rStyle w:val="Hyperlink"/>
        </w:rPr>
        <w:fldChar w:fldCharType="end"/>
      </w:r>
      <w:r>
        <w:t>) to assess the quality of the body of evidence related to the outcomes</w:t>
      </w:r>
      <w:r w:rsidR="00587F8D">
        <w:t>.</w:t>
      </w:r>
    </w:p>
    <w:p w:rsidR="0045758A" w:rsidRDefault="00B35B91" w:rsidP="0045758A">
      <w:hyperlink w:anchor="_GRADEpro_GDT" w:history="1">
        <w:proofErr w:type="spellStart"/>
        <w:r w:rsidR="0045758A">
          <w:rPr>
            <w:rStyle w:val="Hyperlink"/>
          </w:rPr>
          <w:t>GRADEpro</w:t>
        </w:r>
        <w:proofErr w:type="spellEnd"/>
        <w:r w:rsidR="0045758A">
          <w:rPr>
            <w:rStyle w:val="Hyperlink"/>
          </w:rPr>
          <w:t xml:space="preserve"> GDT</w:t>
        </w:r>
      </w:hyperlink>
      <w:r w:rsidR="0045758A">
        <w:t xml:space="preserve"> will be used to import data from Review Manager 5.3 (</w:t>
      </w:r>
      <w:proofErr w:type="spellStart"/>
      <w:r w:rsidR="00D85084">
        <w:rPr>
          <w:rStyle w:val="Hyperlink"/>
        </w:rPr>
        <w:fldChar w:fldCharType="begin"/>
      </w:r>
      <w:r w:rsidR="00D85084">
        <w:rPr>
          <w:rStyle w:val="Hyperlink"/>
        </w:rPr>
        <w:instrText xml:space="preserve"> HYPERLINK "RevMan%202014" </w:instrText>
      </w:r>
      <w:r w:rsidR="00D85084">
        <w:rPr>
          <w:rStyle w:val="Hyperlink"/>
        </w:rPr>
        <w:fldChar w:fldCharType="separate"/>
      </w:r>
      <w:r w:rsidR="0045758A">
        <w:rPr>
          <w:rStyle w:val="Hyperlink"/>
        </w:rPr>
        <w:t>RevMan</w:t>
      </w:r>
      <w:proofErr w:type="spellEnd"/>
      <w:r w:rsidR="0045758A">
        <w:rPr>
          <w:rStyle w:val="Hyperlink"/>
        </w:rPr>
        <w:t xml:space="preserve"> 2014</w:t>
      </w:r>
      <w:r w:rsidR="00D85084">
        <w:rPr>
          <w:rStyle w:val="Hyperlink"/>
        </w:rPr>
        <w:fldChar w:fldCharType="end"/>
      </w:r>
      <w:r w:rsidR="0045758A">
        <w:t xml:space="preserve">) </w:t>
      </w:r>
      <w:proofErr w:type="gramStart"/>
      <w:r w:rsidR="0045758A">
        <w:t>in order to</w:t>
      </w:r>
      <w:proofErr w:type="gramEnd"/>
      <w:r w:rsidR="0045758A">
        <w:t xml:space="preserve"> create the 'Summary of findings' table. A summary of the intervention effect and a measure of quality for each of the above outcomes will be produced using the GRADE approach. The GRADE approach uses five considerations (study limitations, consistency of effect, imprecision, indirectness, and publication bias) to assess the quality of the body of evidence for each outcome. The evidence is downgraded from 'high quality' by one level for serious (or by two levels for very serious) limitations, depending on assessments for risk of bias, </w:t>
      </w:r>
      <w:r w:rsidR="0045758A">
        <w:lastRenderedPageBreak/>
        <w:t>indirectness of evidence, serious inconsistency, imprecision of effect estimates or potential publication bias</w:t>
      </w:r>
    </w:p>
    <w:p w:rsidR="00677B0E" w:rsidRDefault="00F43C30">
      <w:pPr>
        <w:pStyle w:val="Heading3"/>
        <w:rPr>
          <w:rFonts w:eastAsia="Times New Roman"/>
        </w:rPr>
      </w:pPr>
      <w:bookmarkStart w:id="19" w:name="SUBGROUP_ANALYSIS"/>
      <w:r>
        <w:rPr>
          <w:rFonts w:eastAsia="Times New Roman"/>
        </w:rPr>
        <w:t xml:space="preserve">Subgroup analysis and investigation of heterogeneity </w:t>
      </w:r>
      <w:bookmarkEnd w:id="19"/>
    </w:p>
    <w:p w:rsidR="00677B0E" w:rsidRDefault="00F43C30" w:rsidP="00945B12">
      <w:pPr>
        <w:pStyle w:val="NormalWeb"/>
      </w:pPr>
      <w:r>
        <w:t>If we identify substantial heterogeneity (I² statistic ≥ 50% or P &lt; 0.1), we will investigate it using subgroup analyses and sensitivity analyses. We will consider whether an overall summary is meaningful, and if it is, use random-effects analysis to produce it.</w:t>
      </w:r>
    </w:p>
    <w:p w:rsidR="00677B0E" w:rsidRDefault="00F43C30" w:rsidP="005F1ED1">
      <w:pPr>
        <w:pStyle w:val="NormalWeb"/>
      </w:pPr>
      <w:r>
        <w:t xml:space="preserve">We plan to carry out </w:t>
      </w:r>
      <w:r w:rsidR="005F1ED1">
        <w:t>a</w:t>
      </w:r>
      <w:r>
        <w:t xml:space="preserve"> subgroup analys</w:t>
      </w:r>
      <w:r w:rsidR="005F1ED1">
        <w:t>i</w:t>
      </w:r>
      <w:r>
        <w:t>s</w:t>
      </w:r>
      <w:r w:rsidR="005F1ED1">
        <w:t xml:space="preserve"> by the d</w:t>
      </w:r>
      <w:r w:rsidR="00D90370">
        <w:rPr>
          <w:rFonts w:eastAsia="Times New Roman"/>
        </w:rPr>
        <w:t xml:space="preserve">ose of </w:t>
      </w:r>
      <w:proofErr w:type="spellStart"/>
      <w:r w:rsidR="00D90370">
        <w:rPr>
          <w:rFonts w:eastAsia="Times New Roman"/>
        </w:rPr>
        <w:t>elagolix</w:t>
      </w:r>
      <w:proofErr w:type="spellEnd"/>
      <w:r w:rsidR="005F1ED1">
        <w:rPr>
          <w:rFonts w:eastAsia="Times New Roman"/>
        </w:rPr>
        <w:t xml:space="preserve">. </w:t>
      </w:r>
      <w:r>
        <w:t>We plan to restrict the subgroup analysis to primary outcome only.</w:t>
      </w:r>
      <w:r w:rsidR="005F1ED1">
        <w:t xml:space="preserve"> </w:t>
      </w:r>
      <w:r>
        <w:t xml:space="preserve">We will assess subgroup differences by interaction tests available within </w:t>
      </w:r>
      <w:proofErr w:type="spellStart"/>
      <w:r>
        <w:t>RevMan</w:t>
      </w:r>
      <w:proofErr w:type="spellEnd"/>
      <w:r>
        <w:t xml:space="preserve"> (</w:t>
      </w:r>
      <w:proofErr w:type="spellStart"/>
      <w:r w:rsidR="00D85084">
        <w:rPr>
          <w:rStyle w:val="Hyperlink"/>
        </w:rPr>
        <w:fldChar w:fldCharType="begin"/>
      </w:r>
      <w:r w:rsidR="00D85084">
        <w:rPr>
          <w:rStyle w:val="Hyperlink"/>
        </w:rPr>
        <w:instrText xml:space="preserve"> HYPERLINK \l "REF-RevMan-2014" </w:instrText>
      </w:r>
      <w:r w:rsidR="00D85084">
        <w:rPr>
          <w:rStyle w:val="Hyperlink"/>
        </w:rPr>
        <w:fldChar w:fldCharType="separate"/>
      </w:r>
      <w:r>
        <w:rPr>
          <w:rStyle w:val="Hyperlink"/>
        </w:rPr>
        <w:t>RevMan</w:t>
      </w:r>
      <w:proofErr w:type="spellEnd"/>
      <w:r>
        <w:rPr>
          <w:rStyle w:val="Hyperlink"/>
        </w:rPr>
        <w:t xml:space="preserve"> 2014</w:t>
      </w:r>
      <w:r w:rsidR="00D85084">
        <w:rPr>
          <w:rStyle w:val="Hyperlink"/>
        </w:rPr>
        <w:fldChar w:fldCharType="end"/>
      </w:r>
      <w:r>
        <w:t>). We will report the results of subgroup analyses quoting the Chi² statistic and P value, and the interaction test I² value.</w:t>
      </w:r>
    </w:p>
    <w:p w:rsidR="00677B0E" w:rsidRDefault="00F43C30">
      <w:pPr>
        <w:pStyle w:val="Heading3"/>
        <w:rPr>
          <w:rFonts w:eastAsia="Times New Roman"/>
        </w:rPr>
      </w:pPr>
      <w:bookmarkStart w:id="20" w:name="_Sensitivity_analysis"/>
      <w:bookmarkEnd w:id="20"/>
      <w:r>
        <w:rPr>
          <w:rFonts w:eastAsia="Times New Roman"/>
        </w:rPr>
        <w:t>Sensitivity analysis</w:t>
      </w:r>
    </w:p>
    <w:p w:rsidR="00677B0E" w:rsidRDefault="00F43C30" w:rsidP="00945B12">
      <w:pPr>
        <w:pStyle w:val="NormalWeb"/>
      </w:pPr>
      <w:r>
        <w:t xml:space="preserve">We plan to carry out a sensitivity analysis to explore the effects of trial quality by omitting studies rated as 'high risk of </w:t>
      </w:r>
      <w:proofErr w:type="spellStart"/>
      <w:r>
        <w:t>bias'</w:t>
      </w:r>
      <w:proofErr w:type="spellEnd"/>
      <w:r>
        <w:t xml:space="preserve"> and 'unclear risk of </w:t>
      </w:r>
      <w:proofErr w:type="spellStart"/>
      <w:r>
        <w:t>bias'</w:t>
      </w:r>
      <w:proofErr w:type="spellEnd"/>
      <w:r>
        <w:t xml:space="preserve"> when considering allocation concealment (selection bias) and incomplete outcome data (attrition bias). We will carry out sensitivity analysis to explore the effects of fixed-effect or random-effects analyses for outcomes with substantial statistical heterogeneity. We plan to restrict this to the primary outcomes.</w:t>
      </w:r>
    </w:p>
    <w:p w:rsidR="00D6171A" w:rsidRDefault="00D6171A" w:rsidP="00D6171A">
      <w:pPr>
        <w:pStyle w:val="Heading1"/>
      </w:pPr>
      <w:r>
        <w:lastRenderedPageBreak/>
        <w:t>Discussion</w:t>
      </w:r>
    </w:p>
    <w:p w:rsidR="00D6171A" w:rsidRDefault="003617AF" w:rsidP="00945B12">
      <w:pPr>
        <w:pStyle w:val="NormalWeb"/>
      </w:pPr>
      <w:r>
        <w:t>Women, Healthcare providers and policy makers need</w:t>
      </w:r>
      <w:r w:rsidR="00D6171A">
        <w:t xml:space="preserve"> a high quality updated synthesized evidence </w:t>
      </w:r>
      <w:r>
        <w:t>to</w:t>
      </w:r>
      <w:r w:rsidR="00D6171A">
        <w:t xml:space="preserve"> make well informed decisions regarding the effectiveness and safety </w:t>
      </w:r>
      <w:r w:rsidR="0097278D">
        <w:t xml:space="preserve">of </w:t>
      </w:r>
      <w:proofErr w:type="spellStart"/>
      <w:r w:rsidR="0097278D">
        <w:t>elagolix</w:t>
      </w:r>
      <w:proofErr w:type="spellEnd"/>
      <w:r w:rsidR="0097278D">
        <w:t xml:space="preserve"> in the management of women with endometriosis</w:t>
      </w:r>
      <w:r w:rsidR="00D6171A">
        <w:t>.</w:t>
      </w:r>
    </w:p>
    <w:p w:rsidR="00677B0E" w:rsidRDefault="00623CE3">
      <w:pPr>
        <w:pStyle w:val="Heading1"/>
        <w:rPr>
          <w:rFonts w:eastAsia="Times New Roman"/>
        </w:rPr>
      </w:pPr>
      <w:r>
        <w:rPr>
          <w:rFonts w:eastAsia="Times New Roman"/>
        </w:rPr>
        <w:t>R</w:t>
      </w:r>
      <w:r w:rsidR="00F43C30">
        <w:rPr>
          <w:rFonts w:eastAsia="Times New Roman"/>
        </w:rPr>
        <w:t>eferences</w:t>
      </w:r>
    </w:p>
    <w:p w:rsidR="00677B0E" w:rsidRDefault="00F43C30" w:rsidP="00F40CF6">
      <w:pPr>
        <w:pStyle w:val="Heading2"/>
        <w:rPr>
          <w:rFonts w:eastAsia="Times New Roman"/>
        </w:rPr>
      </w:pPr>
      <w:bookmarkStart w:id="21" w:name="_GRADEpro_GDT"/>
      <w:bookmarkStart w:id="22" w:name="REF-GRADEpro-2014"/>
      <w:bookmarkEnd w:id="21"/>
      <w:proofErr w:type="spellStart"/>
      <w:r>
        <w:rPr>
          <w:rFonts w:eastAsia="Times New Roman"/>
        </w:rPr>
        <w:t>GRADEpro</w:t>
      </w:r>
      <w:proofErr w:type="spellEnd"/>
      <w:r>
        <w:rPr>
          <w:rFonts w:eastAsia="Times New Roman"/>
        </w:rPr>
        <w:t xml:space="preserve"> </w:t>
      </w:r>
      <w:bookmarkEnd w:id="22"/>
      <w:r w:rsidR="0045758A">
        <w:rPr>
          <w:rFonts w:eastAsia="Times New Roman"/>
        </w:rPr>
        <w:t>GDT</w:t>
      </w:r>
      <w:r>
        <w:rPr>
          <w:rFonts w:eastAsia="Times New Roman"/>
        </w:rPr>
        <w:t xml:space="preserve"> </w:t>
      </w:r>
    </w:p>
    <w:p w:rsidR="00677B0E" w:rsidRDefault="0045758A" w:rsidP="0045758A">
      <w:proofErr w:type="spellStart"/>
      <w:r w:rsidRPr="0045758A">
        <w:t>GRADEpro</w:t>
      </w:r>
      <w:proofErr w:type="spellEnd"/>
      <w:r w:rsidRPr="0045758A">
        <w:t xml:space="preserve"> GDT [Computer program]. Version accessed 9 August 2016. Hamilton (ON): GRADE Working Group, McMaster University, 2014</w:t>
      </w:r>
      <w:r w:rsidR="00F43C30">
        <w:t>.</w:t>
      </w:r>
    </w:p>
    <w:p w:rsidR="00677B0E" w:rsidRDefault="00F43C30" w:rsidP="00F40CF6">
      <w:pPr>
        <w:pStyle w:val="Heading2"/>
        <w:rPr>
          <w:rFonts w:eastAsia="Times New Roman"/>
        </w:rPr>
      </w:pPr>
      <w:bookmarkStart w:id="23" w:name="REF-Higgins-2011"/>
      <w:r>
        <w:rPr>
          <w:rFonts w:eastAsia="Times New Roman"/>
        </w:rPr>
        <w:t>Higgins 2011</w:t>
      </w:r>
      <w:bookmarkEnd w:id="23"/>
      <w:r>
        <w:rPr>
          <w:rFonts w:eastAsia="Times New Roman"/>
        </w:rPr>
        <w:t xml:space="preserve"> </w:t>
      </w:r>
    </w:p>
    <w:p w:rsidR="00677B0E" w:rsidRDefault="00F43C30" w:rsidP="0045758A">
      <w:r>
        <w:t>Higgins JPT, Green S (editors). Cochrane Handbook for Systematic Reviews of Interventions. Version 5.1.0 [updated March 2011]. The Cochrane Collaboration, 2011. Available from www.cochrane-handbook.org.</w:t>
      </w:r>
    </w:p>
    <w:p w:rsidR="00677B0E" w:rsidRDefault="00F43C30" w:rsidP="00F40CF6">
      <w:pPr>
        <w:pStyle w:val="Heading2"/>
        <w:rPr>
          <w:rFonts w:eastAsia="Times New Roman"/>
        </w:rPr>
      </w:pPr>
      <w:bookmarkStart w:id="24" w:name="REF-MECIR"/>
      <w:r>
        <w:rPr>
          <w:rFonts w:eastAsia="Times New Roman"/>
        </w:rPr>
        <w:t>MECIR</w:t>
      </w:r>
      <w:bookmarkEnd w:id="24"/>
      <w:r>
        <w:rPr>
          <w:rFonts w:eastAsia="Times New Roman"/>
        </w:rPr>
        <w:t xml:space="preserve"> </w:t>
      </w:r>
    </w:p>
    <w:p w:rsidR="00677B0E" w:rsidRDefault="00F43C30" w:rsidP="0045758A">
      <w:r>
        <w:t>Methodolo</w:t>
      </w:r>
      <w:r w:rsidR="009454C2">
        <w:t>g</w:t>
      </w:r>
      <w:r>
        <w:t>i</w:t>
      </w:r>
      <w:r w:rsidR="009454C2">
        <w:t>c</w:t>
      </w:r>
      <w:r>
        <w:t>al Expectations of Cochrane Intervention Reviews (MECIR). http://editorial-unit.cochrane.org/mecir (accessed 9 August 2016).</w:t>
      </w:r>
    </w:p>
    <w:p w:rsidR="00677B0E" w:rsidRDefault="00F43C30" w:rsidP="00F40CF6">
      <w:pPr>
        <w:pStyle w:val="Heading2"/>
        <w:rPr>
          <w:rFonts w:eastAsia="Times New Roman"/>
        </w:rPr>
      </w:pPr>
      <w:bookmarkStart w:id="25" w:name="REF-RevMan-2014"/>
      <w:proofErr w:type="spellStart"/>
      <w:r>
        <w:rPr>
          <w:rFonts w:eastAsia="Times New Roman"/>
        </w:rPr>
        <w:t>RevMan</w:t>
      </w:r>
      <w:proofErr w:type="spellEnd"/>
      <w:r>
        <w:rPr>
          <w:rFonts w:eastAsia="Times New Roman"/>
        </w:rPr>
        <w:t xml:space="preserve"> 2014</w:t>
      </w:r>
      <w:bookmarkEnd w:id="25"/>
      <w:r>
        <w:rPr>
          <w:rFonts w:eastAsia="Times New Roman"/>
        </w:rPr>
        <w:t xml:space="preserve"> </w:t>
      </w:r>
    </w:p>
    <w:p w:rsidR="00677B0E" w:rsidRDefault="00F43C30" w:rsidP="0045758A">
      <w:r>
        <w:t>Review Manager (</w:t>
      </w:r>
      <w:proofErr w:type="spellStart"/>
      <w:r>
        <w:t>RevMan</w:t>
      </w:r>
      <w:proofErr w:type="spellEnd"/>
      <w:r>
        <w:t>) [Computer program]. Version 5.3. Copenhagen: Nordic Cochrane Centre, The Cochrane Collaboration, 2014.</w:t>
      </w:r>
    </w:p>
    <w:p w:rsidR="00677B0E" w:rsidRDefault="00F43C30" w:rsidP="00F40CF6">
      <w:pPr>
        <w:pStyle w:val="Heading2"/>
        <w:rPr>
          <w:rFonts w:eastAsia="Times New Roman"/>
        </w:rPr>
      </w:pPr>
      <w:bookmarkStart w:id="26" w:name="REF-Sch_x00fc_nemann-2009"/>
      <w:proofErr w:type="spellStart"/>
      <w:r>
        <w:rPr>
          <w:rFonts w:eastAsia="Times New Roman"/>
        </w:rPr>
        <w:lastRenderedPageBreak/>
        <w:t>Schünemann</w:t>
      </w:r>
      <w:proofErr w:type="spellEnd"/>
      <w:r>
        <w:rPr>
          <w:rFonts w:eastAsia="Times New Roman"/>
        </w:rPr>
        <w:t xml:space="preserve"> 2009</w:t>
      </w:r>
      <w:bookmarkEnd w:id="26"/>
      <w:r>
        <w:rPr>
          <w:rFonts w:eastAsia="Times New Roman"/>
        </w:rPr>
        <w:t xml:space="preserve"> </w:t>
      </w:r>
    </w:p>
    <w:p w:rsidR="00677B0E" w:rsidRDefault="00F43C30" w:rsidP="0045758A">
      <w:proofErr w:type="spellStart"/>
      <w:r>
        <w:t>Schünemann</w:t>
      </w:r>
      <w:proofErr w:type="spellEnd"/>
      <w:r>
        <w:t xml:space="preserve"> HJ. GRADE: from grading the evidence to developing recommendations. A description of the system and a proposal regarding the transferability of the results of clinical research to clinical practice [GRADE: Von der </w:t>
      </w:r>
      <w:proofErr w:type="spellStart"/>
      <w:r>
        <w:t>Evidenz</w:t>
      </w:r>
      <w:proofErr w:type="spellEnd"/>
      <w:r>
        <w:t xml:space="preserve"> </w:t>
      </w:r>
      <w:proofErr w:type="spellStart"/>
      <w:r>
        <w:t>zur</w:t>
      </w:r>
      <w:proofErr w:type="spellEnd"/>
      <w:r>
        <w:t xml:space="preserve"> </w:t>
      </w:r>
      <w:proofErr w:type="spellStart"/>
      <w:r>
        <w:t>Empfehlung</w:t>
      </w:r>
      <w:proofErr w:type="spellEnd"/>
      <w:r>
        <w:t xml:space="preserve">. </w:t>
      </w:r>
      <w:proofErr w:type="spellStart"/>
      <w:r>
        <w:t>Beschreibung</w:t>
      </w:r>
      <w:proofErr w:type="spellEnd"/>
      <w:r>
        <w:t xml:space="preserve"> des Systems und </w:t>
      </w:r>
      <w:proofErr w:type="spellStart"/>
      <w:r>
        <w:t>Losungsbeitrag</w:t>
      </w:r>
      <w:proofErr w:type="spellEnd"/>
      <w:r>
        <w:t xml:space="preserve"> </w:t>
      </w:r>
      <w:proofErr w:type="spellStart"/>
      <w:r>
        <w:t>zur</w:t>
      </w:r>
      <w:proofErr w:type="spellEnd"/>
      <w:r>
        <w:t xml:space="preserve"> </w:t>
      </w:r>
      <w:proofErr w:type="spellStart"/>
      <w:r>
        <w:t>Ubertragbarkeit</w:t>
      </w:r>
      <w:proofErr w:type="spellEnd"/>
      <w:r>
        <w:t xml:space="preserve"> von </w:t>
      </w:r>
      <w:proofErr w:type="spellStart"/>
      <w:r>
        <w:t>Studienergebnissen</w:t>
      </w:r>
      <w:proofErr w:type="spellEnd"/>
      <w:r>
        <w:t xml:space="preserve">]. </w:t>
      </w:r>
      <w:proofErr w:type="spellStart"/>
      <w:r>
        <w:t>Zeitschrift</w:t>
      </w:r>
      <w:proofErr w:type="spellEnd"/>
      <w:r>
        <w:t xml:space="preserve"> fur </w:t>
      </w:r>
      <w:proofErr w:type="spellStart"/>
      <w:r>
        <w:t>Evidenz</w:t>
      </w:r>
      <w:proofErr w:type="spellEnd"/>
      <w:r>
        <w:t xml:space="preserve">, </w:t>
      </w:r>
      <w:proofErr w:type="spellStart"/>
      <w:r>
        <w:t>Fortbildung</w:t>
      </w:r>
      <w:proofErr w:type="spellEnd"/>
      <w:r>
        <w:t xml:space="preserve"> und </w:t>
      </w:r>
      <w:proofErr w:type="spellStart"/>
      <w:r>
        <w:t>Qualitat</w:t>
      </w:r>
      <w:proofErr w:type="spellEnd"/>
      <w:r>
        <w:t xml:space="preserve"> </w:t>
      </w:r>
      <w:proofErr w:type="spellStart"/>
      <w:r>
        <w:t>im</w:t>
      </w:r>
      <w:proofErr w:type="spellEnd"/>
      <w:r>
        <w:t xml:space="preserve"> </w:t>
      </w:r>
      <w:proofErr w:type="spellStart"/>
      <w:r>
        <w:t>Gesundheitswesen</w:t>
      </w:r>
      <w:proofErr w:type="spellEnd"/>
      <w:r>
        <w:t xml:space="preserve"> 2009;103(6):391-400.</w:t>
      </w:r>
    </w:p>
    <w:p w:rsidR="00677B0E" w:rsidRDefault="00F43C30">
      <w:pPr>
        <w:pStyle w:val="Heading1"/>
        <w:rPr>
          <w:rFonts w:eastAsia="Times New Roman"/>
        </w:rPr>
      </w:pPr>
      <w:bookmarkStart w:id="27" w:name="APPENDICES"/>
      <w:r>
        <w:rPr>
          <w:rFonts w:eastAsia="Times New Roman"/>
        </w:rPr>
        <w:lastRenderedPageBreak/>
        <w:t xml:space="preserve">Appendices </w:t>
      </w:r>
      <w:bookmarkEnd w:id="27"/>
    </w:p>
    <w:p w:rsidR="00C43191" w:rsidRPr="00C43191" w:rsidRDefault="00C43191" w:rsidP="00C43191">
      <w:pPr>
        <w:pStyle w:val="Heading2"/>
      </w:pPr>
      <w:bookmarkStart w:id="28" w:name="_CENTRAL_search_strategy"/>
      <w:bookmarkStart w:id="29" w:name="_Risk_of_bias"/>
      <w:bookmarkStart w:id="30" w:name="_GoBack"/>
      <w:bookmarkEnd w:id="28"/>
      <w:bookmarkEnd w:id="29"/>
      <w:r>
        <w:t>Search strategies</w:t>
      </w:r>
    </w:p>
    <w:p w:rsidR="00C43191" w:rsidRPr="00C43191" w:rsidRDefault="00C43191" w:rsidP="00C43191">
      <w:pPr>
        <w:pStyle w:val="Heading2"/>
        <w:numPr>
          <w:ilvl w:val="0"/>
          <w:numId w:val="16"/>
        </w:numPr>
        <w:rPr>
          <w:rFonts w:eastAsia="Times New Roman"/>
        </w:rPr>
      </w:pPr>
      <w:r w:rsidRPr="00C43191">
        <w:rPr>
          <w:rFonts w:eastAsia="Times New Roman"/>
        </w:rPr>
        <w:t>CENTRAL</w:t>
      </w:r>
    </w:p>
    <w:p w:rsidR="00C43191" w:rsidRPr="00C43191" w:rsidRDefault="00C43191" w:rsidP="00C43191">
      <w:pPr>
        <w:pStyle w:val="Heading2"/>
        <w:ind w:left="360"/>
        <w:rPr>
          <w:rFonts w:eastAsia="Times New Roman"/>
        </w:rPr>
      </w:pPr>
      <w:r w:rsidRPr="00C43191">
        <w:rPr>
          <w:rFonts w:eastAsia="Times New Roman"/>
        </w:rPr>
        <w:t>#1</w:t>
      </w:r>
      <w:r w:rsidRPr="00C43191">
        <w:rPr>
          <w:rFonts w:eastAsia="Times New Roman"/>
        </w:rPr>
        <w:tab/>
      </w:r>
      <w:proofErr w:type="spellStart"/>
      <w:r w:rsidRPr="00C43191">
        <w:rPr>
          <w:rFonts w:eastAsia="Times New Roman"/>
        </w:rPr>
        <w:t>MeSH</w:t>
      </w:r>
      <w:proofErr w:type="spellEnd"/>
      <w:r w:rsidRPr="00C43191">
        <w:rPr>
          <w:rFonts w:eastAsia="Times New Roman"/>
        </w:rPr>
        <w:t xml:space="preserve"> descriptor: [Endometriosis] explode all trees</w:t>
      </w:r>
    </w:p>
    <w:p w:rsidR="00C43191" w:rsidRPr="00C43191" w:rsidRDefault="00C43191" w:rsidP="00C43191">
      <w:pPr>
        <w:pStyle w:val="Heading2"/>
        <w:ind w:left="360"/>
        <w:rPr>
          <w:rFonts w:eastAsia="Times New Roman"/>
        </w:rPr>
      </w:pPr>
      <w:r w:rsidRPr="00C43191">
        <w:rPr>
          <w:rFonts w:eastAsia="Times New Roman"/>
        </w:rPr>
        <w:t>#2</w:t>
      </w:r>
      <w:r w:rsidRPr="00C43191">
        <w:rPr>
          <w:rFonts w:eastAsia="Times New Roman"/>
        </w:rPr>
        <w:tab/>
        <w:t>Endometrioma</w:t>
      </w:r>
    </w:p>
    <w:p w:rsidR="00C43191" w:rsidRPr="00C43191" w:rsidRDefault="00C43191" w:rsidP="00C43191">
      <w:pPr>
        <w:pStyle w:val="Heading2"/>
        <w:ind w:left="360"/>
        <w:rPr>
          <w:rFonts w:eastAsia="Times New Roman"/>
        </w:rPr>
      </w:pPr>
      <w:r w:rsidRPr="00C43191">
        <w:rPr>
          <w:rFonts w:eastAsia="Times New Roman"/>
        </w:rPr>
        <w:t>#3</w:t>
      </w:r>
      <w:r w:rsidRPr="00C43191">
        <w:rPr>
          <w:rFonts w:eastAsia="Times New Roman"/>
        </w:rPr>
        <w:tab/>
        <w:t>Endometriosis</w:t>
      </w:r>
    </w:p>
    <w:p w:rsidR="00C43191" w:rsidRPr="00C43191" w:rsidRDefault="00C43191" w:rsidP="00C43191">
      <w:pPr>
        <w:pStyle w:val="Heading2"/>
        <w:ind w:left="360"/>
        <w:rPr>
          <w:rFonts w:eastAsia="Times New Roman"/>
        </w:rPr>
      </w:pPr>
      <w:r w:rsidRPr="00C43191">
        <w:rPr>
          <w:rFonts w:eastAsia="Times New Roman"/>
        </w:rPr>
        <w:t xml:space="preserve">#4 </w:t>
      </w:r>
      <w:r w:rsidRPr="00C43191">
        <w:rPr>
          <w:rFonts w:eastAsia="Times New Roman"/>
        </w:rPr>
        <w:tab/>
        <w:t xml:space="preserve">#1 or #2 or #3 </w:t>
      </w:r>
      <w:r w:rsidRPr="00C43191">
        <w:rPr>
          <w:rFonts w:eastAsia="Times New Roman"/>
        </w:rPr>
        <w:tab/>
      </w:r>
    </w:p>
    <w:p w:rsidR="00C43191" w:rsidRPr="00C43191" w:rsidRDefault="00C43191" w:rsidP="00C43191">
      <w:pPr>
        <w:pStyle w:val="Heading2"/>
        <w:ind w:left="360"/>
        <w:rPr>
          <w:rFonts w:eastAsia="Times New Roman"/>
        </w:rPr>
      </w:pPr>
      <w:r w:rsidRPr="00C43191">
        <w:rPr>
          <w:rFonts w:eastAsia="Times New Roman"/>
        </w:rPr>
        <w:t>#5</w:t>
      </w:r>
      <w:r w:rsidRPr="00C43191">
        <w:rPr>
          <w:rFonts w:eastAsia="Times New Roman"/>
        </w:rPr>
        <w:tab/>
      </w:r>
      <w:proofErr w:type="spellStart"/>
      <w:r w:rsidRPr="00C43191">
        <w:rPr>
          <w:rFonts w:eastAsia="Times New Roman"/>
        </w:rPr>
        <w:t>elagolix</w:t>
      </w:r>
      <w:proofErr w:type="spellEnd"/>
      <w:r w:rsidRPr="00C43191">
        <w:rPr>
          <w:rFonts w:eastAsia="Times New Roman"/>
        </w:rPr>
        <w:t xml:space="preserve"> </w:t>
      </w:r>
    </w:p>
    <w:p w:rsidR="00C43191" w:rsidRPr="00C43191" w:rsidRDefault="00C43191" w:rsidP="00C43191">
      <w:pPr>
        <w:pStyle w:val="Heading2"/>
        <w:ind w:left="360"/>
        <w:rPr>
          <w:rFonts w:eastAsia="Times New Roman"/>
        </w:rPr>
      </w:pPr>
      <w:r w:rsidRPr="00C43191">
        <w:rPr>
          <w:rFonts w:eastAsia="Times New Roman"/>
        </w:rPr>
        <w:t>#6</w:t>
      </w:r>
      <w:r w:rsidRPr="00C43191">
        <w:rPr>
          <w:rFonts w:eastAsia="Times New Roman"/>
        </w:rPr>
        <w:tab/>
        <w:t xml:space="preserve">#4 and #5 </w:t>
      </w:r>
    </w:p>
    <w:p w:rsidR="00C43191" w:rsidRPr="00C43191" w:rsidRDefault="00C43191" w:rsidP="00C43191">
      <w:pPr>
        <w:pStyle w:val="Heading2"/>
        <w:numPr>
          <w:ilvl w:val="0"/>
          <w:numId w:val="16"/>
        </w:numPr>
        <w:rPr>
          <w:rFonts w:eastAsia="Times New Roman"/>
        </w:rPr>
      </w:pPr>
      <w:r w:rsidRPr="00C43191">
        <w:rPr>
          <w:rFonts w:eastAsia="Times New Roman"/>
        </w:rPr>
        <w:t>Clinicaltrials.gov</w:t>
      </w:r>
    </w:p>
    <w:p w:rsidR="00C43191" w:rsidRPr="00C43191" w:rsidRDefault="00C43191" w:rsidP="00C43191">
      <w:pPr>
        <w:pStyle w:val="Heading2"/>
        <w:ind w:left="360"/>
        <w:rPr>
          <w:rFonts w:eastAsia="Times New Roman"/>
        </w:rPr>
      </w:pPr>
      <w:r w:rsidRPr="00C43191">
        <w:rPr>
          <w:rFonts w:eastAsia="Times New Roman"/>
        </w:rPr>
        <w:t>Field = Conditions</w:t>
      </w:r>
    </w:p>
    <w:p w:rsidR="00C43191" w:rsidRPr="00C43191" w:rsidRDefault="00C43191" w:rsidP="00C43191">
      <w:pPr>
        <w:pStyle w:val="Heading2"/>
        <w:ind w:left="360"/>
        <w:rPr>
          <w:rFonts w:eastAsia="Times New Roman"/>
        </w:rPr>
      </w:pPr>
      <w:r w:rsidRPr="00C43191">
        <w:rPr>
          <w:rFonts w:eastAsia="Times New Roman"/>
        </w:rPr>
        <w:t>Endometrioma or Endometriosis</w:t>
      </w:r>
    </w:p>
    <w:p w:rsidR="00C43191" w:rsidRPr="00C43191" w:rsidRDefault="00C43191" w:rsidP="00C43191">
      <w:pPr>
        <w:pStyle w:val="Heading2"/>
        <w:ind w:left="360"/>
        <w:rPr>
          <w:rFonts w:eastAsia="Times New Roman"/>
        </w:rPr>
      </w:pPr>
      <w:r w:rsidRPr="00C43191">
        <w:rPr>
          <w:rFonts w:eastAsia="Times New Roman"/>
        </w:rPr>
        <w:t>AND</w:t>
      </w:r>
    </w:p>
    <w:p w:rsidR="00C43191" w:rsidRPr="00C43191" w:rsidRDefault="00C43191" w:rsidP="00C43191">
      <w:pPr>
        <w:pStyle w:val="Heading2"/>
        <w:ind w:left="360"/>
        <w:rPr>
          <w:rFonts w:eastAsia="Times New Roman"/>
        </w:rPr>
      </w:pPr>
      <w:r w:rsidRPr="00C43191">
        <w:rPr>
          <w:rFonts w:eastAsia="Times New Roman"/>
        </w:rPr>
        <w:t>Field = Interventions</w:t>
      </w:r>
    </w:p>
    <w:p w:rsidR="00C43191" w:rsidRPr="00C43191" w:rsidRDefault="00C43191" w:rsidP="00C43191">
      <w:pPr>
        <w:pStyle w:val="Heading2"/>
        <w:ind w:left="360"/>
        <w:rPr>
          <w:rFonts w:eastAsia="Times New Roman"/>
        </w:rPr>
      </w:pPr>
      <w:proofErr w:type="spellStart"/>
      <w:r w:rsidRPr="00C43191">
        <w:rPr>
          <w:rFonts w:eastAsia="Times New Roman"/>
        </w:rPr>
        <w:t>elagolix</w:t>
      </w:r>
      <w:proofErr w:type="spellEnd"/>
      <w:r w:rsidRPr="00C43191">
        <w:rPr>
          <w:rFonts w:eastAsia="Times New Roman"/>
        </w:rPr>
        <w:t xml:space="preserve"> </w:t>
      </w:r>
    </w:p>
    <w:p w:rsidR="00C43191" w:rsidRPr="00C43191" w:rsidRDefault="00C43191" w:rsidP="00C43191">
      <w:pPr>
        <w:pStyle w:val="Heading2"/>
        <w:ind w:left="360"/>
        <w:rPr>
          <w:rFonts w:eastAsia="Times New Roman"/>
        </w:rPr>
      </w:pPr>
      <w:r w:rsidRPr="00C43191">
        <w:rPr>
          <w:rFonts w:eastAsia="Times New Roman"/>
        </w:rPr>
        <w:t>No restriction by date or status of study</w:t>
      </w:r>
    </w:p>
    <w:p w:rsidR="00C43191" w:rsidRPr="00C43191" w:rsidRDefault="00C43191" w:rsidP="00C43191">
      <w:pPr>
        <w:pStyle w:val="Heading2"/>
        <w:numPr>
          <w:ilvl w:val="0"/>
          <w:numId w:val="16"/>
        </w:numPr>
        <w:rPr>
          <w:rFonts w:eastAsia="Times New Roman"/>
        </w:rPr>
      </w:pPr>
      <w:r w:rsidRPr="00C43191">
        <w:rPr>
          <w:rFonts w:eastAsia="Times New Roman"/>
        </w:rPr>
        <w:t>WHO trials register</w:t>
      </w:r>
    </w:p>
    <w:p w:rsidR="00C43191" w:rsidRPr="00C43191" w:rsidRDefault="00C43191" w:rsidP="00C43191">
      <w:pPr>
        <w:pStyle w:val="Heading2"/>
        <w:ind w:left="360"/>
        <w:rPr>
          <w:rFonts w:eastAsia="Times New Roman"/>
        </w:rPr>
      </w:pPr>
      <w:r w:rsidRPr="00C43191">
        <w:rPr>
          <w:rFonts w:eastAsia="Times New Roman"/>
        </w:rPr>
        <w:lastRenderedPageBreak/>
        <w:t>Field = Conditions</w:t>
      </w:r>
    </w:p>
    <w:p w:rsidR="00C43191" w:rsidRPr="00C43191" w:rsidRDefault="00C43191" w:rsidP="00C43191">
      <w:pPr>
        <w:pStyle w:val="Heading2"/>
        <w:ind w:left="360"/>
        <w:rPr>
          <w:rFonts w:eastAsia="Times New Roman"/>
        </w:rPr>
      </w:pPr>
      <w:r w:rsidRPr="00C43191">
        <w:rPr>
          <w:rFonts w:eastAsia="Times New Roman"/>
        </w:rPr>
        <w:t>Endometrioma or Endometriosis</w:t>
      </w:r>
    </w:p>
    <w:p w:rsidR="00C43191" w:rsidRPr="00C43191" w:rsidRDefault="00C43191" w:rsidP="00C43191">
      <w:pPr>
        <w:pStyle w:val="Heading2"/>
        <w:ind w:left="360"/>
        <w:rPr>
          <w:rFonts w:eastAsia="Times New Roman"/>
        </w:rPr>
      </w:pPr>
      <w:r w:rsidRPr="00C43191">
        <w:rPr>
          <w:rFonts w:eastAsia="Times New Roman"/>
        </w:rPr>
        <w:t>AND</w:t>
      </w:r>
    </w:p>
    <w:p w:rsidR="00C43191" w:rsidRPr="00C43191" w:rsidRDefault="00C43191" w:rsidP="00C43191">
      <w:pPr>
        <w:pStyle w:val="Heading2"/>
        <w:ind w:left="360"/>
        <w:rPr>
          <w:rFonts w:eastAsia="Times New Roman"/>
        </w:rPr>
      </w:pPr>
      <w:r w:rsidRPr="00C43191">
        <w:rPr>
          <w:rFonts w:eastAsia="Times New Roman"/>
        </w:rPr>
        <w:t>Field = Interventions</w:t>
      </w:r>
    </w:p>
    <w:p w:rsidR="00C43191" w:rsidRPr="00C43191" w:rsidRDefault="00C43191" w:rsidP="00C43191">
      <w:pPr>
        <w:pStyle w:val="Heading2"/>
        <w:ind w:left="360"/>
        <w:rPr>
          <w:rFonts w:eastAsia="Times New Roman"/>
        </w:rPr>
      </w:pPr>
      <w:proofErr w:type="spellStart"/>
      <w:r w:rsidRPr="00C43191">
        <w:rPr>
          <w:rFonts w:eastAsia="Times New Roman"/>
        </w:rPr>
        <w:t>elagolix</w:t>
      </w:r>
      <w:proofErr w:type="spellEnd"/>
      <w:r w:rsidRPr="00C43191">
        <w:rPr>
          <w:rFonts w:eastAsia="Times New Roman"/>
        </w:rPr>
        <w:t xml:space="preserve"> </w:t>
      </w:r>
    </w:p>
    <w:p w:rsidR="00C43191" w:rsidRPr="00C43191" w:rsidRDefault="00C43191" w:rsidP="00C43191">
      <w:pPr>
        <w:pStyle w:val="Heading2"/>
        <w:ind w:left="360"/>
      </w:pPr>
      <w:r w:rsidRPr="00C43191">
        <w:rPr>
          <w:rFonts w:eastAsia="Times New Roman"/>
        </w:rPr>
        <w:t>No restriction by date or status of trial</w:t>
      </w:r>
    </w:p>
    <w:bookmarkEnd w:id="30"/>
    <w:p w:rsidR="0092574B" w:rsidRDefault="0092574B" w:rsidP="00C43191">
      <w:pPr>
        <w:pStyle w:val="Heading2"/>
      </w:pPr>
      <w:r w:rsidRPr="00C43191">
        <w:t>Risk</w:t>
      </w:r>
      <w:r>
        <w:t xml:space="preserve"> of bias assessment</w:t>
      </w:r>
    </w:p>
    <w:p w:rsidR="0098145C" w:rsidRDefault="0098145C" w:rsidP="0014485D">
      <w:pPr>
        <w:pStyle w:val="ListParagraph"/>
        <w:numPr>
          <w:ilvl w:val="0"/>
          <w:numId w:val="19"/>
        </w:numPr>
      </w:pPr>
      <w:r>
        <w:t>RANDOM SEQUENCE GENERATION (CHECKING FOR POSSIBLE SELECTION BIAS)</w:t>
      </w:r>
      <w:r w:rsidR="0014485D">
        <w:t xml:space="preserve">: </w:t>
      </w:r>
      <w:r>
        <w:t xml:space="preserve">We will describe for each included study the method used to generate the allocation sequence in </w:t>
      </w:r>
      <w:proofErr w:type="gramStart"/>
      <w:r>
        <w:t>sufficient</w:t>
      </w:r>
      <w:proofErr w:type="gramEnd"/>
      <w:r>
        <w:t xml:space="preserve"> detail to allow an assessment of whether it should produce comparable groups.</w:t>
      </w:r>
      <w:r w:rsidR="00475657">
        <w:t xml:space="preserve"> </w:t>
      </w:r>
      <w:r>
        <w:t>We will assess the method as:</w:t>
      </w:r>
    </w:p>
    <w:p w:rsidR="0098145C" w:rsidRDefault="0098145C" w:rsidP="0014485D">
      <w:pPr>
        <w:pStyle w:val="ListParagraph"/>
        <w:numPr>
          <w:ilvl w:val="1"/>
          <w:numId w:val="19"/>
        </w:numPr>
      </w:pPr>
      <w:r>
        <w:t>Low risk (any truly random process, e.g. random number table; computer random number generator);</w:t>
      </w:r>
    </w:p>
    <w:p w:rsidR="0098145C" w:rsidRDefault="0098145C" w:rsidP="0014485D">
      <w:pPr>
        <w:pStyle w:val="ListParagraph"/>
        <w:numPr>
          <w:ilvl w:val="1"/>
          <w:numId w:val="19"/>
        </w:numPr>
      </w:pPr>
      <w:r>
        <w:t>High risk (any non-random process, e.g. odd or even date of birth; hospital or clinic record number); or</w:t>
      </w:r>
    </w:p>
    <w:p w:rsidR="0098145C" w:rsidRDefault="0098145C" w:rsidP="0014485D">
      <w:pPr>
        <w:pStyle w:val="ListParagraph"/>
        <w:numPr>
          <w:ilvl w:val="1"/>
          <w:numId w:val="19"/>
        </w:numPr>
      </w:pPr>
      <w:r>
        <w:t>Unclear risk.</w:t>
      </w:r>
    </w:p>
    <w:p w:rsidR="0098145C" w:rsidRDefault="0098145C" w:rsidP="0014485D">
      <w:pPr>
        <w:pStyle w:val="ListParagraph"/>
        <w:numPr>
          <w:ilvl w:val="0"/>
          <w:numId w:val="19"/>
        </w:numPr>
      </w:pPr>
      <w:r>
        <w:t>ALLOCATION CONCEALMENT (CHECKING FOR POSSIBLE SELECTION BIAS)</w:t>
      </w:r>
      <w:r w:rsidR="0014485D">
        <w:t xml:space="preserve">: </w:t>
      </w:r>
      <w:r>
        <w:t>We will describe for each included study the method used to conceal the allocation sequence and determine whether intervention allocation could have been foreseen in advance of, or during recruitment, or changed after assignment. We will assess the method as:</w:t>
      </w:r>
    </w:p>
    <w:p w:rsidR="0098145C" w:rsidRDefault="0098145C" w:rsidP="0014485D">
      <w:pPr>
        <w:pStyle w:val="ListParagraph"/>
        <w:numPr>
          <w:ilvl w:val="1"/>
          <w:numId w:val="19"/>
        </w:numPr>
      </w:pPr>
      <w:r>
        <w:lastRenderedPageBreak/>
        <w:t xml:space="preserve">Low risk (e.g. telephone or central </w:t>
      </w:r>
      <w:proofErr w:type="spellStart"/>
      <w:r>
        <w:t>randomisation</w:t>
      </w:r>
      <w:proofErr w:type="spellEnd"/>
      <w:r>
        <w:t>; consecutively-numbered sealed opaque envelopes);</w:t>
      </w:r>
    </w:p>
    <w:p w:rsidR="0098145C" w:rsidRDefault="0098145C" w:rsidP="0014485D">
      <w:pPr>
        <w:pStyle w:val="ListParagraph"/>
        <w:numPr>
          <w:ilvl w:val="1"/>
          <w:numId w:val="19"/>
        </w:numPr>
      </w:pPr>
      <w:r>
        <w:t>High risk (open random allocation; unsealed or non-opaque envelopes); or</w:t>
      </w:r>
    </w:p>
    <w:p w:rsidR="0098145C" w:rsidRDefault="0098145C" w:rsidP="0014485D">
      <w:pPr>
        <w:pStyle w:val="ListParagraph"/>
        <w:numPr>
          <w:ilvl w:val="1"/>
          <w:numId w:val="19"/>
        </w:numPr>
      </w:pPr>
      <w:r>
        <w:t>Unclear risk.</w:t>
      </w:r>
    </w:p>
    <w:p w:rsidR="0014485D" w:rsidRDefault="0014485D" w:rsidP="00475657">
      <w:pPr>
        <w:pStyle w:val="ListParagraph"/>
        <w:numPr>
          <w:ilvl w:val="0"/>
          <w:numId w:val="19"/>
        </w:numPr>
      </w:pPr>
      <w:r>
        <w:t>Blinding</w:t>
      </w:r>
    </w:p>
    <w:p w:rsidR="0098145C" w:rsidRDefault="0098145C" w:rsidP="004C551D">
      <w:pPr>
        <w:pStyle w:val="ListParagraph"/>
        <w:numPr>
          <w:ilvl w:val="1"/>
          <w:numId w:val="19"/>
        </w:numPr>
      </w:pPr>
      <w:r>
        <w:t>BLINDING OF PARTICIPANTS AND PERSONNEL (CHECKING FOR POSSIBLE PERFORMANCE BIAS)</w:t>
      </w:r>
      <w:r w:rsidR="0014485D">
        <w:t xml:space="preserve">: </w:t>
      </w:r>
      <w:r>
        <w:t>The nature of the intervention does not allow for blinding of participants. We will consider that studies are at low risk of bias if we judge that the lack of blinding could not have affected the results.</w:t>
      </w:r>
    </w:p>
    <w:p w:rsidR="0098145C" w:rsidRDefault="0098145C" w:rsidP="004C551D">
      <w:pPr>
        <w:pStyle w:val="ListParagraph"/>
        <w:numPr>
          <w:ilvl w:val="1"/>
          <w:numId w:val="19"/>
        </w:numPr>
      </w:pPr>
      <w:r>
        <w:t>BLINDING OF OUTCOME ASSESSMENT (CHECKING FOR POSSIBLE DETECTION BIAS)</w:t>
      </w:r>
      <w:r w:rsidR="0014485D">
        <w:t xml:space="preserve">: </w:t>
      </w:r>
      <w:r>
        <w:t>We will describe all measures used, if any, to blind outcome assessors from knowledge of which intervention a participant received and provide any information relating to whether the intended blinding was effective.</w:t>
      </w:r>
    </w:p>
    <w:p w:rsidR="0098145C" w:rsidRDefault="0098145C" w:rsidP="0014485D">
      <w:pPr>
        <w:pStyle w:val="ListParagraph"/>
        <w:numPr>
          <w:ilvl w:val="1"/>
          <w:numId w:val="19"/>
        </w:numPr>
      </w:pPr>
      <w:r>
        <w:t>We will assess the method as</w:t>
      </w:r>
      <w:r w:rsidR="0014485D">
        <w:t xml:space="preserve"> </w:t>
      </w:r>
      <w:r>
        <w:t>Low risk;</w:t>
      </w:r>
      <w:r w:rsidR="0014485D">
        <w:t xml:space="preserve"> </w:t>
      </w:r>
      <w:r>
        <w:t>High risk; or</w:t>
      </w:r>
      <w:r w:rsidR="0014485D">
        <w:t xml:space="preserve"> </w:t>
      </w:r>
      <w:r>
        <w:t xml:space="preserve">Unclear risk. </w:t>
      </w:r>
    </w:p>
    <w:p w:rsidR="0098145C" w:rsidRDefault="0098145C" w:rsidP="0014485D">
      <w:pPr>
        <w:pStyle w:val="ListParagraph"/>
        <w:numPr>
          <w:ilvl w:val="0"/>
          <w:numId w:val="19"/>
        </w:numPr>
      </w:pPr>
      <w:r>
        <w:t>INCOMPLETE OUTCOME DATA (CHECKING FOR POSSIBLE ATTRITION BIAS)</w:t>
      </w:r>
      <w:r w:rsidR="0014485D">
        <w:t xml:space="preserve">: </w:t>
      </w:r>
      <w:r>
        <w:t xml:space="preserve">We will describe for each included study, and for each outcome or class of outcomes, the completeness of data including attrition and exclusions from the analysis. We will state whether attrition and exclusions were reported, the numbers included in the analysis at each stage (compared with the total </w:t>
      </w:r>
      <w:proofErr w:type="spellStart"/>
      <w:r>
        <w:t>randomised</w:t>
      </w:r>
      <w:proofErr w:type="spellEnd"/>
      <w:r>
        <w:t xml:space="preserve"> participants), reasons for attrition or exclusion where reported, and whether missing data were balanced across groups or were related to outcomes. Where sufficient information is reported, or can be supplied by the trial authors, we will re-include missing data in the analyses which we undertake. We will assess methods as:</w:t>
      </w:r>
    </w:p>
    <w:p w:rsidR="0098145C" w:rsidRDefault="0098145C" w:rsidP="0014485D">
      <w:pPr>
        <w:pStyle w:val="ListParagraph"/>
        <w:numPr>
          <w:ilvl w:val="1"/>
          <w:numId w:val="19"/>
        </w:numPr>
      </w:pPr>
      <w:r>
        <w:lastRenderedPageBreak/>
        <w:t>Low risk;</w:t>
      </w:r>
    </w:p>
    <w:p w:rsidR="0098145C" w:rsidRDefault="0098145C" w:rsidP="0014485D">
      <w:pPr>
        <w:pStyle w:val="ListParagraph"/>
        <w:numPr>
          <w:ilvl w:val="1"/>
          <w:numId w:val="19"/>
        </w:numPr>
      </w:pPr>
      <w:r>
        <w:t>High risk; or</w:t>
      </w:r>
    </w:p>
    <w:p w:rsidR="0098145C" w:rsidRDefault="0098145C" w:rsidP="0014485D">
      <w:pPr>
        <w:pStyle w:val="ListParagraph"/>
        <w:numPr>
          <w:ilvl w:val="1"/>
          <w:numId w:val="19"/>
        </w:numPr>
      </w:pPr>
      <w:r>
        <w:t>Unclear risk.</w:t>
      </w:r>
    </w:p>
    <w:p w:rsidR="0098145C" w:rsidRDefault="0098145C" w:rsidP="0014485D">
      <w:pPr>
        <w:pStyle w:val="ListParagraph"/>
        <w:numPr>
          <w:ilvl w:val="0"/>
          <w:numId w:val="19"/>
        </w:numPr>
      </w:pPr>
      <w:r>
        <w:t>SELECTIVE REPORTING BIAS</w:t>
      </w:r>
      <w:r w:rsidR="0014485D">
        <w:t xml:space="preserve">: </w:t>
      </w:r>
      <w:r>
        <w:t>We will describe for each included study how we investigated the possibility of selective outcome reporting bias and what we found. We will assess the methods as:</w:t>
      </w:r>
    </w:p>
    <w:p w:rsidR="0098145C" w:rsidRDefault="0098145C" w:rsidP="0014485D">
      <w:pPr>
        <w:pStyle w:val="ListParagraph"/>
        <w:numPr>
          <w:ilvl w:val="1"/>
          <w:numId w:val="19"/>
        </w:numPr>
      </w:pPr>
      <w:r>
        <w:t xml:space="preserve">Low risk (where </w:t>
      </w:r>
      <w:proofErr w:type="gramStart"/>
      <w:r>
        <w:t>it is clear that all</w:t>
      </w:r>
      <w:proofErr w:type="gramEnd"/>
      <w:r>
        <w:t xml:space="preserve"> of the study’s prespecified outcomes and all expected outcomes of interest to the review have been reported);</w:t>
      </w:r>
    </w:p>
    <w:p w:rsidR="0098145C" w:rsidRDefault="0098145C" w:rsidP="0014485D">
      <w:pPr>
        <w:pStyle w:val="ListParagraph"/>
        <w:numPr>
          <w:ilvl w:val="1"/>
          <w:numId w:val="19"/>
        </w:numPr>
      </w:pPr>
      <w:r>
        <w:t>High risk (where not all the study’s prespecified outcomes have been reported; one or more reported primary outcomes were not prespecified; outcomes of interest are reported incompletely and so cannot be used; the study fails to include results of a key outcome that would have been expected to have been reported); or</w:t>
      </w:r>
    </w:p>
    <w:p w:rsidR="0098145C" w:rsidRDefault="0098145C" w:rsidP="0014485D">
      <w:pPr>
        <w:pStyle w:val="ListParagraph"/>
        <w:numPr>
          <w:ilvl w:val="1"/>
          <w:numId w:val="19"/>
        </w:numPr>
      </w:pPr>
      <w:r>
        <w:t>Unclear risk.</w:t>
      </w:r>
    </w:p>
    <w:p w:rsidR="0098145C" w:rsidRDefault="0098145C" w:rsidP="0014485D">
      <w:pPr>
        <w:pStyle w:val="ListParagraph"/>
        <w:numPr>
          <w:ilvl w:val="0"/>
          <w:numId w:val="19"/>
        </w:numPr>
      </w:pPr>
      <w:r>
        <w:t>OTHER SOURCES OF BIAS</w:t>
      </w:r>
      <w:r w:rsidR="0014485D">
        <w:t xml:space="preserve">: </w:t>
      </w:r>
      <w:r>
        <w:t>We will describe for each included study any important concerns we have about other possible sources of bias.</w:t>
      </w:r>
      <w:r w:rsidR="0045758A">
        <w:t xml:space="preserve"> </w:t>
      </w:r>
      <w:r>
        <w:t>We will assess whether each study was free of other problems that could put it at risk of bias:</w:t>
      </w:r>
    </w:p>
    <w:p w:rsidR="0098145C" w:rsidRDefault="0098145C" w:rsidP="0014485D">
      <w:pPr>
        <w:pStyle w:val="ListParagraph"/>
        <w:numPr>
          <w:ilvl w:val="1"/>
          <w:numId w:val="19"/>
        </w:numPr>
      </w:pPr>
      <w:r>
        <w:t>Low risk;</w:t>
      </w:r>
    </w:p>
    <w:p w:rsidR="0098145C" w:rsidRDefault="0098145C" w:rsidP="0014485D">
      <w:pPr>
        <w:pStyle w:val="ListParagraph"/>
        <w:numPr>
          <w:ilvl w:val="1"/>
          <w:numId w:val="19"/>
        </w:numPr>
      </w:pPr>
      <w:r>
        <w:t>High risk; or</w:t>
      </w:r>
    </w:p>
    <w:p w:rsidR="00EF4A12" w:rsidRDefault="0098145C" w:rsidP="0014485D">
      <w:pPr>
        <w:pStyle w:val="ListParagraph"/>
        <w:numPr>
          <w:ilvl w:val="1"/>
          <w:numId w:val="19"/>
        </w:numPr>
      </w:pPr>
      <w:r>
        <w:t>Unclear risk.</w:t>
      </w:r>
    </w:p>
    <w:p w:rsidR="00475657" w:rsidRPr="00EF4A12" w:rsidRDefault="00475657" w:rsidP="004C551D">
      <w:pPr>
        <w:pStyle w:val="ListParagraph"/>
        <w:numPr>
          <w:ilvl w:val="0"/>
          <w:numId w:val="19"/>
        </w:numPr>
      </w:pPr>
      <w:r>
        <w:t>Overall risk of bias</w:t>
      </w:r>
      <w:r w:rsidR="0014485D">
        <w:t xml:space="preserve">: </w:t>
      </w:r>
      <w:r>
        <w:t xml:space="preserve">We will make explicit judgements about the overall risk of bias i.e. whether studies are at high risk of bias, according to the criteria given in the </w:t>
      </w:r>
      <w:r w:rsidRPr="0014485D">
        <w:rPr>
          <w:i/>
          <w:iCs/>
        </w:rPr>
        <w:t>Cochrane Handbook</w:t>
      </w:r>
      <w:r>
        <w:t>.</w:t>
      </w:r>
    </w:p>
    <w:sectPr w:rsidR="00475657" w:rsidRPr="00EF4A12" w:rsidSect="00F96988">
      <w:footerReference w:type="default" r:id="rId10"/>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5B91" w:rsidRDefault="00B35B91" w:rsidP="00927EF7">
      <w:r>
        <w:separator/>
      </w:r>
    </w:p>
  </w:endnote>
  <w:endnote w:type="continuationSeparator" w:id="0">
    <w:p w:rsidR="00B35B91" w:rsidRDefault="00B35B91" w:rsidP="00927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0146588"/>
      <w:docPartObj>
        <w:docPartGallery w:val="Page Numbers (Bottom of Page)"/>
        <w:docPartUnique/>
      </w:docPartObj>
    </w:sdtPr>
    <w:sdtEndPr>
      <w:rPr>
        <w:noProof/>
      </w:rPr>
    </w:sdtEndPr>
    <w:sdtContent>
      <w:p w:rsidR="004C551D" w:rsidRDefault="004C55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C551D" w:rsidRDefault="004C55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5B91" w:rsidRDefault="00B35B91" w:rsidP="00927EF7">
      <w:r>
        <w:separator/>
      </w:r>
    </w:p>
  </w:footnote>
  <w:footnote w:type="continuationSeparator" w:id="0">
    <w:p w:rsidR="00B35B91" w:rsidRDefault="00B35B91" w:rsidP="00927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604D0"/>
    <w:multiLevelType w:val="multilevel"/>
    <w:tmpl w:val="AF72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26232"/>
    <w:multiLevelType w:val="multilevel"/>
    <w:tmpl w:val="ECF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7025"/>
    <w:multiLevelType w:val="multilevel"/>
    <w:tmpl w:val="2D8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1FF4"/>
    <w:multiLevelType w:val="hybridMultilevel"/>
    <w:tmpl w:val="FE2A4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B6D97"/>
    <w:multiLevelType w:val="multilevel"/>
    <w:tmpl w:val="22E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D6856"/>
    <w:multiLevelType w:val="multilevel"/>
    <w:tmpl w:val="F3800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63109"/>
    <w:multiLevelType w:val="multilevel"/>
    <w:tmpl w:val="A9D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92C60"/>
    <w:multiLevelType w:val="multilevel"/>
    <w:tmpl w:val="1D6E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3035B"/>
    <w:multiLevelType w:val="hybridMultilevel"/>
    <w:tmpl w:val="CC6AB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4964CF"/>
    <w:multiLevelType w:val="multilevel"/>
    <w:tmpl w:val="708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6542B"/>
    <w:multiLevelType w:val="hybridMultilevel"/>
    <w:tmpl w:val="5E1E40F6"/>
    <w:lvl w:ilvl="0" w:tplc="0409000F">
      <w:start w:val="1"/>
      <w:numFmt w:val="decimal"/>
      <w:lvlText w:val="%1."/>
      <w:lvlJc w:val="left"/>
      <w:pPr>
        <w:ind w:left="720" w:hanging="360"/>
      </w:pPr>
    </w:lvl>
    <w:lvl w:ilvl="1" w:tplc="9DCE726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B5C56"/>
    <w:multiLevelType w:val="multilevel"/>
    <w:tmpl w:val="2C3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24626"/>
    <w:multiLevelType w:val="multilevel"/>
    <w:tmpl w:val="B2D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85F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A63710"/>
    <w:multiLevelType w:val="multilevel"/>
    <w:tmpl w:val="4FD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4167C"/>
    <w:multiLevelType w:val="multilevel"/>
    <w:tmpl w:val="93F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D0EB8"/>
    <w:multiLevelType w:val="hybridMultilevel"/>
    <w:tmpl w:val="3B0EF1AA"/>
    <w:lvl w:ilvl="0" w:tplc="0409000F">
      <w:start w:val="1"/>
      <w:numFmt w:val="decimal"/>
      <w:lvlText w:val="%1."/>
      <w:lvlJc w:val="left"/>
      <w:pPr>
        <w:ind w:left="720" w:hanging="360"/>
      </w:pPr>
    </w:lvl>
    <w:lvl w:ilvl="1" w:tplc="A10834BC">
      <w:start w:val="1"/>
      <w:numFmt w:val="bullet"/>
      <w:lvlText w:val="•"/>
      <w:lvlJc w:val="left"/>
      <w:pPr>
        <w:ind w:left="1800" w:hanging="720"/>
      </w:pPr>
      <w:rPr>
        <w:rFonts w:ascii="Calibri" w:eastAsiaTheme="minorEastAsia"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D77E8"/>
    <w:multiLevelType w:val="multilevel"/>
    <w:tmpl w:val="C7D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64BA5"/>
    <w:multiLevelType w:val="multilevel"/>
    <w:tmpl w:val="6502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8"/>
  </w:num>
  <w:num w:numId="3">
    <w:abstractNumId w:val="7"/>
  </w:num>
  <w:num w:numId="4">
    <w:abstractNumId w:val="14"/>
  </w:num>
  <w:num w:numId="5">
    <w:abstractNumId w:val="6"/>
  </w:num>
  <w:num w:numId="6">
    <w:abstractNumId w:val="9"/>
  </w:num>
  <w:num w:numId="7">
    <w:abstractNumId w:val="4"/>
  </w:num>
  <w:num w:numId="8">
    <w:abstractNumId w:val="12"/>
  </w:num>
  <w:num w:numId="9">
    <w:abstractNumId w:val="15"/>
  </w:num>
  <w:num w:numId="10">
    <w:abstractNumId w:val="2"/>
  </w:num>
  <w:num w:numId="11">
    <w:abstractNumId w:val="5"/>
  </w:num>
  <w:num w:numId="12">
    <w:abstractNumId w:val="0"/>
  </w:num>
  <w:num w:numId="13">
    <w:abstractNumId w:val="1"/>
  </w:num>
  <w:num w:numId="14">
    <w:abstractNumId w:val="11"/>
  </w:num>
  <w:num w:numId="15">
    <w:abstractNumId w:val="8"/>
  </w:num>
  <w:num w:numId="16">
    <w:abstractNumId w:val="10"/>
  </w:num>
  <w:num w:numId="17">
    <w:abstractNumId w:val="16"/>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1"/>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8D"/>
    <w:rsid w:val="0005130D"/>
    <w:rsid w:val="00075C00"/>
    <w:rsid w:val="000B2AB0"/>
    <w:rsid w:val="000C23D1"/>
    <w:rsid w:val="0014485D"/>
    <w:rsid w:val="0014681B"/>
    <w:rsid w:val="00196770"/>
    <w:rsid w:val="00250F16"/>
    <w:rsid w:val="00285889"/>
    <w:rsid w:val="002E2CAC"/>
    <w:rsid w:val="003458EB"/>
    <w:rsid w:val="003617AF"/>
    <w:rsid w:val="003947F1"/>
    <w:rsid w:val="003C7BB0"/>
    <w:rsid w:val="0040668D"/>
    <w:rsid w:val="0045758A"/>
    <w:rsid w:val="0046304A"/>
    <w:rsid w:val="00475657"/>
    <w:rsid w:val="00493EE1"/>
    <w:rsid w:val="004B6CCC"/>
    <w:rsid w:val="004C551D"/>
    <w:rsid w:val="004E2CC1"/>
    <w:rsid w:val="004E6767"/>
    <w:rsid w:val="004E7239"/>
    <w:rsid w:val="0055769B"/>
    <w:rsid w:val="00587F8D"/>
    <w:rsid w:val="005F180C"/>
    <w:rsid w:val="005F1ED1"/>
    <w:rsid w:val="00623CE3"/>
    <w:rsid w:val="00673861"/>
    <w:rsid w:val="00677B0E"/>
    <w:rsid w:val="00697DE4"/>
    <w:rsid w:val="00703856"/>
    <w:rsid w:val="007C0A03"/>
    <w:rsid w:val="007E4750"/>
    <w:rsid w:val="008512A0"/>
    <w:rsid w:val="0092574B"/>
    <w:rsid w:val="00927EF7"/>
    <w:rsid w:val="009454C2"/>
    <w:rsid w:val="00945B12"/>
    <w:rsid w:val="0097278D"/>
    <w:rsid w:val="0098145C"/>
    <w:rsid w:val="00987C12"/>
    <w:rsid w:val="00992C6F"/>
    <w:rsid w:val="00A11A7F"/>
    <w:rsid w:val="00A20F3D"/>
    <w:rsid w:val="00A47F36"/>
    <w:rsid w:val="00AD1867"/>
    <w:rsid w:val="00B35B91"/>
    <w:rsid w:val="00B36E84"/>
    <w:rsid w:val="00B61A85"/>
    <w:rsid w:val="00B91599"/>
    <w:rsid w:val="00BC1438"/>
    <w:rsid w:val="00C43191"/>
    <w:rsid w:val="00C67BE3"/>
    <w:rsid w:val="00CC4931"/>
    <w:rsid w:val="00CD4A9E"/>
    <w:rsid w:val="00D16BB8"/>
    <w:rsid w:val="00D6171A"/>
    <w:rsid w:val="00D85084"/>
    <w:rsid w:val="00D90370"/>
    <w:rsid w:val="00DB3D2B"/>
    <w:rsid w:val="00DD7FB3"/>
    <w:rsid w:val="00E700C5"/>
    <w:rsid w:val="00EC6F30"/>
    <w:rsid w:val="00ED3DA6"/>
    <w:rsid w:val="00ED4DBB"/>
    <w:rsid w:val="00EE2B94"/>
    <w:rsid w:val="00EF4A12"/>
    <w:rsid w:val="00F40CF6"/>
    <w:rsid w:val="00F43C30"/>
    <w:rsid w:val="00F943DD"/>
    <w:rsid w:val="00F96988"/>
    <w:rsid w:val="00FB4ABA"/>
    <w:rsid w:val="00FD33A1"/>
    <w:rsid w:val="00FE082B"/>
    <w:rsid w:val="00FF0F11"/>
    <w:rsid w:val="00FF74D9"/>
  </w:rsids>
  <m:mathPr>
    <m:mathFont m:val="Cambria Math"/>
    <m:brkBin m:val="before"/>
    <m:brkBinSub m:val="--"/>
    <m:smallFrac m:val="0"/>
    <m:dispDef/>
    <m:lMargin m:val="0"/>
    <m:rMargin m:val="0"/>
    <m:defJc m:val="centerGroup"/>
    <m:wrapIndent m:val="1440"/>
    <m:intLim m:val="subSup"/>
    <m:naryLim m:val="undOvr"/>
  </m:mathPr>
  <w:attachedSchema w:val="http://cochrane.org/old"/>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D29BF"/>
  <w15:chartTrackingRefBased/>
  <w15:docId w15:val="{615AC3E1-0A6B-46D8-89AB-373343AB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6988"/>
    <w:pPr>
      <w:spacing w:after="0" w:line="480" w:lineRule="auto"/>
    </w:pPr>
    <w:rPr>
      <w:sz w:val="24"/>
    </w:rPr>
  </w:style>
  <w:style w:type="paragraph" w:styleId="Heading1">
    <w:name w:val="heading 1"/>
    <w:basedOn w:val="Normal"/>
    <w:next w:val="Normal"/>
    <w:link w:val="Heading1Char"/>
    <w:uiPriority w:val="9"/>
    <w:qFormat/>
    <w:rsid w:val="00F9698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96988"/>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96988"/>
    <w:pPr>
      <w:keepNext/>
      <w:keepLines/>
      <w:spacing w:before="12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unhideWhenUsed/>
    <w:qFormat/>
    <w:rsid w:val="00F96988"/>
    <w:pPr>
      <w:keepNext/>
      <w:keepLines/>
      <w:spacing w:before="12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unhideWhenUsed/>
    <w:qFormat/>
    <w:rsid w:val="00F96988"/>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F96988"/>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96988"/>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F96988"/>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F96988"/>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sid w:val="00F9698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96988"/>
    <w:rPr>
      <w:rFonts w:asciiTheme="majorHAnsi" w:eastAsiaTheme="majorEastAsia" w:hAnsiTheme="majorHAnsi" w:cstheme="majorBidi"/>
      <w:b/>
      <w:bCs/>
      <w:sz w:val="28"/>
      <w:szCs w:val="28"/>
    </w:rPr>
  </w:style>
  <w:style w:type="paragraph" w:customStyle="1" w:styleId="fixedtext">
    <w:name w:val="fixedtext"/>
    <w:basedOn w:val="Normal"/>
    <w:pPr>
      <w:spacing w:before="100" w:beforeAutospacing="1" w:after="100" w:afterAutospacing="1"/>
    </w:pPr>
  </w:style>
  <w:style w:type="character" w:customStyle="1" w:styleId="Heading3Char">
    <w:name w:val="Heading 3 Char"/>
    <w:basedOn w:val="DefaultParagraphFont"/>
    <w:link w:val="Heading3"/>
    <w:uiPriority w:val="9"/>
    <w:rsid w:val="00F96988"/>
    <w:rPr>
      <w:rFonts w:asciiTheme="majorHAnsi" w:eastAsiaTheme="majorEastAsia" w:hAnsiTheme="majorHAnsi" w:cstheme="majorBidi"/>
      <w:spacing w:val="4"/>
      <w:sz w:val="24"/>
      <w:szCs w:val="24"/>
    </w:r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4Char">
    <w:name w:val="Heading 4 Char"/>
    <w:basedOn w:val="DefaultParagraphFont"/>
    <w:link w:val="Heading4"/>
    <w:uiPriority w:val="9"/>
    <w:rsid w:val="00F9698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F96988"/>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F9698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96988"/>
    <w:rPr>
      <w:i/>
      <w:iCs/>
    </w:rPr>
  </w:style>
  <w:style w:type="character" w:customStyle="1" w:styleId="Heading8Char">
    <w:name w:val="Heading 8 Char"/>
    <w:basedOn w:val="DefaultParagraphFont"/>
    <w:link w:val="Heading8"/>
    <w:uiPriority w:val="9"/>
    <w:semiHidden/>
    <w:rsid w:val="00F96988"/>
    <w:rPr>
      <w:b/>
      <w:bCs/>
    </w:rPr>
  </w:style>
  <w:style w:type="character" w:customStyle="1" w:styleId="Heading9Char">
    <w:name w:val="Heading 9 Char"/>
    <w:basedOn w:val="DefaultParagraphFont"/>
    <w:link w:val="Heading9"/>
    <w:uiPriority w:val="9"/>
    <w:semiHidden/>
    <w:rsid w:val="00F96988"/>
    <w:rPr>
      <w:i/>
      <w:iCs/>
    </w:rPr>
  </w:style>
  <w:style w:type="paragraph" w:styleId="Caption">
    <w:name w:val="caption"/>
    <w:basedOn w:val="Normal"/>
    <w:next w:val="Normal"/>
    <w:uiPriority w:val="35"/>
    <w:semiHidden/>
    <w:unhideWhenUsed/>
    <w:qFormat/>
    <w:rsid w:val="00F96988"/>
    <w:rPr>
      <w:b/>
      <w:bCs/>
      <w:sz w:val="18"/>
      <w:szCs w:val="18"/>
    </w:rPr>
  </w:style>
  <w:style w:type="paragraph" w:styleId="Title">
    <w:name w:val="Title"/>
    <w:basedOn w:val="Normal"/>
    <w:next w:val="Normal"/>
    <w:link w:val="TitleChar"/>
    <w:uiPriority w:val="10"/>
    <w:qFormat/>
    <w:rsid w:val="00F96988"/>
    <w:pPr>
      <w:spacing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9698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96988"/>
    <w:pPr>
      <w:numPr>
        <w:ilvl w:val="1"/>
      </w:numPr>
      <w:spacing w:after="240"/>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F96988"/>
    <w:rPr>
      <w:rFonts w:asciiTheme="majorHAnsi" w:eastAsiaTheme="majorEastAsia" w:hAnsiTheme="majorHAnsi" w:cstheme="majorBidi"/>
      <w:sz w:val="24"/>
      <w:szCs w:val="24"/>
    </w:rPr>
  </w:style>
  <w:style w:type="character" w:styleId="Strong">
    <w:name w:val="Strong"/>
    <w:basedOn w:val="DefaultParagraphFont"/>
    <w:uiPriority w:val="22"/>
    <w:qFormat/>
    <w:rsid w:val="00F96988"/>
    <w:rPr>
      <w:b/>
      <w:bCs/>
      <w:color w:val="auto"/>
    </w:rPr>
  </w:style>
  <w:style w:type="character" w:styleId="Emphasis">
    <w:name w:val="Emphasis"/>
    <w:basedOn w:val="DefaultParagraphFont"/>
    <w:uiPriority w:val="20"/>
    <w:qFormat/>
    <w:rsid w:val="00F96988"/>
    <w:rPr>
      <w:i/>
      <w:iCs/>
      <w:color w:val="auto"/>
    </w:rPr>
  </w:style>
  <w:style w:type="paragraph" w:styleId="NoSpacing">
    <w:name w:val="No Spacing"/>
    <w:uiPriority w:val="1"/>
    <w:qFormat/>
    <w:rsid w:val="00F96988"/>
    <w:pPr>
      <w:spacing w:after="0" w:line="240" w:lineRule="auto"/>
    </w:pPr>
  </w:style>
  <w:style w:type="paragraph" w:styleId="Quote">
    <w:name w:val="Quote"/>
    <w:basedOn w:val="Normal"/>
    <w:next w:val="Normal"/>
    <w:link w:val="QuoteChar"/>
    <w:uiPriority w:val="29"/>
    <w:qFormat/>
    <w:rsid w:val="00F96988"/>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F96988"/>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9698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96988"/>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96988"/>
    <w:rPr>
      <w:i/>
      <w:iCs/>
      <w:color w:val="auto"/>
    </w:rPr>
  </w:style>
  <w:style w:type="character" w:styleId="IntenseEmphasis">
    <w:name w:val="Intense Emphasis"/>
    <w:basedOn w:val="DefaultParagraphFont"/>
    <w:uiPriority w:val="21"/>
    <w:qFormat/>
    <w:rsid w:val="00F96988"/>
    <w:rPr>
      <w:b/>
      <w:bCs/>
      <w:i/>
      <w:iCs/>
      <w:color w:val="auto"/>
    </w:rPr>
  </w:style>
  <w:style w:type="character" w:styleId="SubtleReference">
    <w:name w:val="Subtle Reference"/>
    <w:basedOn w:val="DefaultParagraphFont"/>
    <w:uiPriority w:val="31"/>
    <w:qFormat/>
    <w:rsid w:val="00F96988"/>
    <w:rPr>
      <w:smallCaps/>
      <w:color w:val="auto"/>
      <w:u w:val="single" w:color="7F7F7F" w:themeColor="text1" w:themeTint="80"/>
    </w:rPr>
  </w:style>
  <w:style w:type="character" w:styleId="IntenseReference">
    <w:name w:val="Intense Reference"/>
    <w:basedOn w:val="DefaultParagraphFont"/>
    <w:uiPriority w:val="32"/>
    <w:qFormat/>
    <w:rsid w:val="00F96988"/>
    <w:rPr>
      <w:b/>
      <w:bCs/>
      <w:smallCaps/>
      <w:color w:val="auto"/>
      <w:u w:val="single"/>
    </w:rPr>
  </w:style>
  <w:style w:type="character" w:styleId="BookTitle">
    <w:name w:val="Book Title"/>
    <w:basedOn w:val="DefaultParagraphFont"/>
    <w:uiPriority w:val="33"/>
    <w:qFormat/>
    <w:rsid w:val="00F96988"/>
    <w:rPr>
      <w:b/>
      <w:bCs/>
      <w:smallCaps/>
      <w:color w:val="auto"/>
    </w:rPr>
  </w:style>
  <w:style w:type="paragraph" w:styleId="TOCHeading">
    <w:name w:val="TOC Heading"/>
    <w:basedOn w:val="Heading1"/>
    <w:next w:val="Normal"/>
    <w:uiPriority w:val="39"/>
    <w:semiHidden/>
    <w:unhideWhenUsed/>
    <w:qFormat/>
    <w:rsid w:val="00F96988"/>
    <w:pPr>
      <w:outlineLvl w:val="9"/>
    </w:pPr>
  </w:style>
  <w:style w:type="character" w:customStyle="1" w:styleId="highlight">
    <w:name w:val="highlight"/>
    <w:basedOn w:val="DefaultParagraphFont"/>
    <w:rsid w:val="003C7BB0"/>
  </w:style>
  <w:style w:type="paragraph" w:styleId="ListParagraph">
    <w:name w:val="List Paragraph"/>
    <w:basedOn w:val="Normal"/>
    <w:uiPriority w:val="34"/>
    <w:qFormat/>
    <w:rsid w:val="003C7BB0"/>
    <w:pPr>
      <w:ind w:left="720"/>
      <w:contextualSpacing/>
    </w:pPr>
  </w:style>
  <w:style w:type="character" w:styleId="UnresolvedMention">
    <w:name w:val="Unresolved Mention"/>
    <w:basedOn w:val="DefaultParagraphFont"/>
    <w:uiPriority w:val="99"/>
    <w:semiHidden/>
    <w:unhideWhenUsed/>
    <w:rsid w:val="00DD7FB3"/>
    <w:rPr>
      <w:color w:val="605E5C"/>
      <w:shd w:val="clear" w:color="auto" w:fill="E1DFDD"/>
    </w:rPr>
  </w:style>
  <w:style w:type="paragraph" w:styleId="Header">
    <w:name w:val="header"/>
    <w:basedOn w:val="Normal"/>
    <w:link w:val="HeaderChar"/>
    <w:uiPriority w:val="99"/>
    <w:unhideWhenUsed/>
    <w:rsid w:val="00927EF7"/>
    <w:pPr>
      <w:tabs>
        <w:tab w:val="center" w:pos="4680"/>
        <w:tab w:val="right" w:pos="9360"/>
      </w:tabs>
    </w:pPr>
  </w:style>
  <w:style w:type="character" w:customStyle="1" w:styleId="HeaderChar">
    <w:name w:val="Header Char"/>
    <w:basedOn w:val="DefaultParagraphFont"/>
    <w:link w:val="Header"/>
    <w:uiPriority w:val="99"/>
    <w:rsid w:val="00927EF7"/>
  </w:style>
  <w:style w:type="paragraph" w:styleId="Footer">
    <w:name w:val="footer"/>
    <w:basedOn w:val="Normal"/>
    <w:link w:val="FooterChar"/>
    <w:uiPriority w:val="99"/>
    <w:unhideWhenUsed/>
    <w:rsid w:val="00927EF7"/>
    <w:pPr>
      <w:tabs>
        <w:tab w:val="center" w:pos="4680"/>
        <w:tab w:val="right" w:pos="9360"/>
      </w:tabs>
    </w:pPr>
  </w:style>
  <w:style w:type="character" w:customStyle="1" w:styleId="FooterChar">
    <w:name w:val="Footer Char"/>
    <w:basedOn w:val="DefaultParagraphFont"/>
    <w:link w:val="Footer"/>
    <w:uiPriority w:val="99"/>
    <w:rsid w:val="00927EF7"/>
  </w:style>
  <w:style w:type="character" w:styleId="HTMLCite">
    <w:name w:val="HTML Cite"/>
    <w:basedOn w:val="DefaultParagraphFont"/>
    <w:uiPriority w:val="99"/>
    <w:semiHidden/>
    <w:unhideWhenUsed/>
    <w:rsid w:val="004E6767"/>
    <w:rPr>
      <w:i/>
      <w:iCs/>
    </w:rPr>
  </w:style>
  <w:style w:type="character" w:customStyle="1" w:styleId="author">
    <w:name w:val="author"/>
    <w:basedOn w:val="DefaultParagraphFont"/>
    <w:rsid w:val="004E6767"/>
  </w:style>
  <w:style w:type="character" w:customStyle="1" w:styleId="articletitle">
    <w:name w:val="articletitle"/>
    <w:basedOn w:val="DefaultParagraphFont"/>
    <w:rsid w:val="004E6767"/>
  </w:style>
  <w:style w:type="character" w:customStyle="1" w:styleId="othertitle">
    <w:name w:val="othertitle"/>
    <w:basedOn w:val="DefaultParagraphFont"/>
    <w:rsid w:val="004E6767"/>
  </w:style>
  <w:style w:type="character" w:customStyle="1" w:styleId="vol">
    <w:name w:val="vol"/>
    <w:basedOn w:val="DefaultParagraphFont"/>
    <w:rsid w:val="004E6767"/>
  </w:style>
  <w:style w:type="character" w:customStyle="1" w:styleId="citedissue">
    <w:name w:val="citedissue"/>
    <w:basedOn w:val="DefaultParagraphFont"/>
    <w:rsid w:val="004E6767"/>
  </w:style>
  <w:style w:type="paragraph" w:styleId="HTMLPreformatted">
    <w:name w:val="HTML Preformatted"/>
    <w:basedOn w:val="Normal"/>
    <w:link w:val="HTMLPreformattedChar"/>
    <w:uiPriority w:val="99"/>
    <w:semiHidden/>
    <w:unhideWhenUsed/>
    <w:rsid w:val="00697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7DE4"/>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F96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3130525">
      <w:bodyDiv w:val="1"/>
      <w:marLeft w:val="0"/>
      <w:marRight w:val="0"/>
      <w:marTop w:val="0"/>
      <w:marBottom w:val="0"/>
      <w:divBdr>
        <w:top w:val="none" w:sz="0" w:space="0" w:color="auto"/>
        <w:left w:val="none" w:sz="0" w:space="0" w:color="auto"/>
        <w:bottom w:val="none" w:sz="0" w:space="0" w:color="auto"/>
        <w:right w:val="none" w:sz="0" w:space="0" w:color="auto"/>
      </w:divBdr>
    </w:div>
    <w:div w:id="2122794395">
      <w:bodyDiv w:val="1"/>
      <w:marLeft w:val="0"/>
      <w:marRight w:val="0"/>
      <w:marTop w:val="0"/>
      <w:marBottom w:val="0"/>
      <w:divBdr>
        <w:top w:val="none" w:sz="0" w:space="0" w:color="auto"/>
        <w:left w:val="none" w:sz="0" w:space="0" w:color="auto"/>
        <w:bottom w:val="none" w:sz="0" w:space="0" w:color="auto"/>
        <w:right w:val="none" w:sz="0" w:space="0" w:color="auto"/>
      </w:divBdr>
      <w:divsChild>
        <w:div w:id="740298112">
          <w:marLeft w:val="0"/>
          <w:marRight w:val="0"/>
          <w:marTop w:val="0"/>
          <w:marBottom w:val="0"/>
          <w:divBdr>
            <w:top w:val="none" w:sz="0" w:space="0" w:color="auto"/>
            <w:left w:val="none" w:sz="0" w:space="0" w:color="auto"/>
            <w:bottom w:val="none" w:sz="0" w:space="0" w:color="auto"/>
            <w:right w:val="none" w:sz="0" w:space="0" w:color="auto"/>
          </w:divBdr>
          <w:divsChild>
            <w:div w:id="440878600">
              <w:marLeft w:val="0"/>
              <w:marRight w:val="0"/>
              <w:marTop w:val="0"/>
              <w:marBottom w:val="0"/>
              <w:divBdr>
                <w:top w:val="none" w:sz="0" w:space="0" w:color="auto"/>
                <w:left w:val="none" w:sz="0" w:space="0" w:color="auto"/>
                <w:bottom w:val="none" w:sz="0" w:space="0" w:color="auto"/>
                <w:right w:val="none" w:sz="0" w:space="0" w:color="auto"/>
              </w:divBdr>
              <w:divsChild>
                <w:div w:id="967049950">
                  <w:marLeft w:val="0"/>
                  <w:marRight w:val="0"/>
                  <w:marTop w:val="0"/>
                  <w:marBottom w:val="0"/>
                  <w:divBdr>
                    <w:top w:val="none" w:sz="0" w:space="0" w:color="auto"/>
                    <w:left w:val="none" w:sz="0" w:space="0" w:color="auto"/>
                    <w:bottom w:val="none" w:sz="0" w:space="0" w:color="auto"/>
                    <w:right w:val="none" w:sz="0" w:space="0" w:color="auto"/>
                  </w:divBdr>
                  <w:divsChild>
                    <w:div w:id="1388407867">
                      <w:marLeft w:val="0"/>
                      <w:marRight w:val="0"/>
                      <w:marTop w:val="0"/>
                      <w:marBottom w:val="0"/>
                      <w:divBdr>
                        <w:top w:val="none" w:sz="0" w:space="0" w:color="auto"/>
                        <w:left w:val="none" w:sz="0" w:space="0" w:color="auto"/>
                        <w:bottom w:val="none" w:sz="0" w:space="0" w:color="auto"/>
                        <w:right w:val="none" w:sz="0" w:space="0" w:color="auto"/>
                      </w:divBdr>
                      <w:divsChild>
                        <w:div w:id="2084326641">
                          <w:marLeft w:val="0"/>
                          <w:marRight w:val="0"/>
                          <w:marTop w:val="0"/>
                          <w:marBottom w:val="0"/>
                          <w:divBdr>
                            <w:top w:val="none" w:sz="0" w:space="0" w:color="auto"/>
                            <w:left w:val="none" w:sz="0" w:space="0" w:color="auto"/>
                            <w:bottom w:val="none" w:sz="0" w:space="0" w:color="auto"/>
                            <w:right w:val="none" w:sz="0" w:space="0" w:color="auto"/>
                          </w:divBdr>
                          <w:divsChild>
                            <w:div w:id="21467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inicalTrials.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apps.who.int/trial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181BB-6C8E-496A-B076-A5F2D6A21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Pages>
  <Words>2814</Words>
  <Characters>16044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Self-administered subcutaneous medroxyprogesterone acetate</vt:lpstr>
    </vt:vector>
  </TitlesOfParts>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Self-administered subcutaneous medroxyprogesterone acetate</dc:title>
  <dc:subject>a systematic review and meta-analysis of randomized controlled trials</dc:subject>
  <dc:creator>Ashraf Nabhan</dc:creator>
  <cp:keywords/>
  <dc:description/>
  <cp:lastModifiedBy>Ashraf Nabhan</cp:lastModifiedBy>
  <cp:revision>44</cp:revision>
  <dcterms:created xsi:type="dcterms:W3CDTF">2018-05-22T16:07:00Z</dcterms:created>
  <dcterms:modified xsi:type="dcterms:W3CDTF">2018-10-21T18:17:00Z</dcterms:modified>
</cp:coreProperties>
</file>